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31" w:type="dxa"/>
        <w:tblInd w:w="-5" w:type="dxa"/>
        <w:tblLook w:val="04A0" w:firstRow="1" w:lastRow="0" w:firstColumn="1" w:lastColumn="0" w:noHBand="0" w:noVBand="1"/>
      </w:tblPr>
      <w:tblGrid>
        <w:gridCol w:w="1021"/>
        <w:gridCol w:w="10780"/>
        <w:gridCol w:w="3830"/>
      </w:tblGrid>
      <w:tr w:rsidR="001E3A8D" w:rsidRPr="002A75C5" w14:paraId="278C2338" w14:textId="77777777" w:rsidTr="005F2C0C">
        <w:trPr>
          <w:trHeight w:val="483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9841BE" w14:textId="636CD86E" w:rsidR="001E3A8D" w:rsidRPr="002A75C5" w:rsidRDefault="001E3A8D" w:rsidP="0D4348B3">
            <w:pPr>
              <w:jc w:val="center"/>
              <w:rPr>
                <w:b/>
                <w:bCs/>
                <w:sz w:val="20"/>
                <w:szCs w:val="20"/>
              </w:rPr>
            </w:pPr>
            <w:r w:rsidRPr="0D4348B3">
              <w:rPr>
                <w:b/>
                <w:bCs/>
                <w:sz w:val="20"/>
                <w:szCs w:val="20"/>
              </w:rPr>
              <w:t>Key Priority</w:t>
            </w:r>
          </w:p>
        </w:tc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22703BB4" w14:textId="300CD35C" w:rsidR="001E3A8D" w:rsidRPr="002A75C5" w:rsidRDefault="003F7DB3" w:rsidP="0D4348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improve the quality of teaching and learning in writing across the school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503A5FFF" w14:textId="77777777" w:rsidR="001E3A8D" w:rsidRPr="002A75C5" w:rsidRDefault="001E3A8D" w:rsidP="003E7E8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Monitoring documents to support evaluation and share with Governors</w:t>
            </w:r>
          </w:p>
        </w:tc>
      </w:tr>
      <w:tr w:rsidR="00C04600" w:rsidRPr="002A75C5" w14:paraId="2E55F1EC" w14:textId="77777777" w:rsidTr="005F2C0C">
        <w:trPr>
          <w:trHeight w:val="325"/>
        </w:trPr>
        <w:tc>
          <w:tcPr>
            <w:tcW w:w="1021" w:type="dxa"/>
            <w:vMerge w:val="restart"/>
            <w:textDirection w:val="btLr"/>
            <w:vAlign w:val="center"/>
          </w:tcPr>
          <w:p w14:paraId="5FDC72B3" w14:textId="77777777" w:rsidR="00C04600" w:rsidRPr="002A75C5" w:rsidRDefault="00C04600" w:rsidP="00D43BA3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2A75C5">
              <w:rPr>
                <w:rFonts w:cstheme="minorHAnsi"/>
                <w:b/>
                <w:sz w:val="20"/>
                <w:szCs w:val="18"/>
              </w:rPr>
              <w:t>Individual Strands within the priority area</w:t>
            </w:r>
          </w:p>
        </w:tc>
        <w:tc>
          <w:tcPr>
            <w:tcW w:w="10780" w:type="dxa"/>
            <w:shd w:val="clear" w:color="auto" w:fill="B4C6E7" w:themeFill="accent1" w:themeFillTint="66"/>
            <w:vAlign w:val="center"/>
          </w:tcPr>
          <w:p w14:paraId="7EC5C75E" w14:textId="6FAF2C12" w:rsidR="00C04600" w:rsidRPr="00DE3D2B" w:rsidRDefault="00C04600" w:rsidP="00D43BA3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 Implement new handwriting and spelling schemes</w:t>
            </w:r>
          </w:p>
        </w:tc>
        <w:tc>
          <w:tcPr>
            <w:tcW w:w="3830" w:type="dxa"/>
            <w:vMerge w:val="restart"/>
          </w:tcPr>
          <w:p w14:paraId="672A6659" w14:textId="77777777" w:rsidR="00C04600" w:rsidRPr="002A75C5" w:rsidRDefault="00C04600" w:rsidP="00D43BA3">
            <w:pPr>
              <w:rPr>
                <w:rFonts w:eastAsia="Arial" w:cstheme="minorHAnsi"/>
                <w:b/>
                <w:sz w:val="18"/>
                <w:szCs w:val="18"/>
              </w:rPr>
            </w:pPr>
          </w:p>
          <w:p w14:paraId="7DECA045" w14:textId="77777777" w:rsidR="00C04600" w:rsidRPr="002A75C5" w:rsidRDefault="00C04600" w:rsidP="00D43BA3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Curriculum Overviews</w:t>
            </w:r>
          </w:p>
          <w:p w14:paraId="307035C5" w14:textId="77777777" w:rsidR="00C04600" w:rsidRPr="002A75C5" w:rsidRDefault="00C04600" w:rsidP="00D43BA3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Subject Monitoring files</w:t>
            </w:r>
          </w:p>
          <w:p w14:paraId="6DBC099C" w14:textId="77777777" w:rsidR="00C04600" w:rsidRPr="002A75C5" w:rsidRDefault="00C04600" w:rsidP="00D43BA3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School Improvement Plan (SIP)</w:t>
            </w:r>
          </w:p>
          <w:p w14:paraId="0B63E28F" w14:textId="77777777" w:rsidR="00C04600" w:rsidRPr="009D3799" w:rsidRDefault="00C04600" w:rsidP="00D43BA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Subject Reports/Link Gov reports</w:t>
            </w:r>
          </w:p>
          <w:p w14:paraId="0A37501D" w14:textId="77777777" w:rsidR="00C04600" w:rsidRDefault="00C04600" w:rsidP="00D43BA3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F9AEAE5" w14:textId="77777777" w:rsidR="00C04600" w:rsidRDefault="00C04600" w:rsidP="00D43BA3">
            <w:pPr>
              <w:tabs>
                <w:tab w:val="center" w:pos="1807"/>
                <w:tab w:val="right" w:pos="3614"/>
              </w:tabs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ab/>
              <w:t>Colour Code:</w:t>
            </w:r>
            <w:r>
              <w:rPr>
                <w:rFonts w:cstheme="minorHAnsi"/>
                <w:b/>
                <w:i/>
                <w:sz w:val="18"/>
                <w:szCs w:val="18"/>
              </w:rPr>
              <w:tab/>
            </w:r>
          </w:p>
          <w:p w14:paraId="4013A75D" w14:textId="77777777" w:rsidR="00C04600" w:rsidRPr="001E3A8D" w:rsidRDefault="00C04600" w:rsidP="00D43BA3">
            <w:pPr>
              <w:jc w:val="center"/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A8D">
              <w:rPr>
                <w:rFonts w:cstheme="minorHAnsi"/>
                <w:b/>
                <w:i/>
                <w:color w:val="FF6600"/>
                <w:sz w:val="18"/>
                <w:szCs w:val="18"/>
              </w:rPr>
              <w:t>Autumn Actions</w:t>
            </w:r>
          </w:p>
          <w:p w14:paraId="7CAB5177" w14:textId="77777777" w:rsidR="00C04600" w:rsidRPr="009D3799" w:rsidRDefault="00C04600" w:rsidP="00D43BA3">
            <w:pPr>
              <w:jc w:val="center"/>
              <w:rPr>
                <w:rFonts w:cstheme="minorHAnsi"/>
                <w:b/>
                <w:i/>
                <w:color w:val="00B050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B050"/>
                <w:sz w:val="18"/>
                <w:szCs w:val="18"/>
              </w:rPr>
              <w:t>Spring Actions</w:t>
            </w:r>
          </w:p>
          <w:p w14:paraId="2DFA3A27" w14:textId="77777777" w:rsidR="00C04600" w:rsidRPr="009D3799" w:rsidRDefault="00C04600" w:rsidP="00D43BA3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70C0"/>
                <w:sz w:val="18"/>
                <w:szCs w:val="18"/>
              </w:rPr>
              <w:t>Summer Actions</w:t>
            </w:r>
          </w:p>
        </w:tc>
      </w:tr>
      <w:tr w:rsidR="00C04600" w:rsidRPr="002A75C5" w14:paraId="489A240E" w14:textId="77777777" w:rsidTr="005F2C0C">
        <w:trPr>
          <w:trHeight w:val="375"/>
        </w:trPr>
        <w:tc>
          <w:tcPr>
            <w:tcW w:w="1021" w:type="dxa"/>
            <w:vMerge/>
          </w:tcPr>
          <w:p w14:paraId="5DAB6C7B" w14:textId="77777777" w:rsidR="00C04600" w:rsidRPr="002A75C5" w:rsidRDefault="00C04600" w:rsidP="00D43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8EAADB" w:themeFill="accent1" w:themeFillTint="99"/>
            <w:vAlign w:val="center"/>
          </w:tcPr>
          <w:p w14:paraId="13B62F95" w14:textId="53C49262" w:rsidR="00C04600" w:rsidRPr="002A75C5" w:rsidRDefault="00C04600" w:rsidP="00D43BA3">
            <w:pPr>
              <w:pStyle w:val="ListParagraph"/>
              <w:numPr>
                <w:ilvl w:val="1"/>
                <w:numId w:val="2"/>
              </w:numPr>
            </w:pPr>
            <w:r>
              <w:rPr>
                <w:color w:val="000000"/>
              </w:rPr>
              <w:t xml:space="preserve"> Embed the three-week writing plan, linked to high quality texts, and with regular short-burst writing opportunities planned in for all year groups</w:t>
            </w:r>
          </w:p>
        </w:tc>
        <w:tc>
          <w:tcPr>
            <w:tcW w:w="3830" w:type="dxa"/>
            <w:vMerge/>
          </w:tcPr>
          <w:p w14:paraId="02EB378F" w14:textId="77777777" w:rsidR="00C04600" w:rsidRPr="002A75C5" w:rsidRDefault="00C04600" w:rsidP="00D43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600" w:rsidRPr="002A75C5" w14:paraId="2BA1B811" w14:textId="77777777" w:rsidTr="005F2C0C">
        <w:trPr>
          <w:trHeight w:val="366"/>
        </w:trPr>
        <w:tc>
          <w:tcPr>
            <w:tcW w:w="1021" w:type="dxa"/>
            <w:vMerge/>
          </w:tcPr>
          <w:p w14:paraId="6A05A809" w14:textId="77777777" w:rsidR="00C04600" w:rsidRPr="002A75C5" w:rsidRDefault="00C04600" w:rsidP="00D43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7A9FCC"/>
            <w:vAlign w:val="center"/>
          </w:tcPr>
          <w:p w14:paraId="52B4804A" w14:textId="453C6D72" w:rsidR="00C04600" w:rsidRPr="002A75C5" w:rsidRDefault="00C04600" w:rsidP="00D43BA3">
            <w:pPr>
              <w:pStyle w:val="ListParagraph"/>
              <w:numPr>
                <w:ilvl w:val="1"/>
                <w:numId w:val="2"/>
              </w:numPr>
            </w:pPr>
            <w:r>
              <w:rPr>
                <w:color w:val="000000"/>
              </w:rPr>
              <w:t xml:space="preserve"> Develop modelling approaches in writing with high expectations to ensure that there is regular opportunity to write at greater depth with appropriate scaffolds in place</w:t>
            </w:r>
          </w:p>
        </w:tc>
        <w:tc>
          <w:tcPr>
            <w:tcW w:w="3830" w:type="dxa"/>
            <w:vMerge/>
          </w:tcPr>
          <w:p w14:paraId="5A39BBE3" w14:textId="77777777" w:rsidR="00C04600" w:rsidRPr="002A75C5" w:rsidRDefault="00C04600" w:rsidP="00D43BA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04600" w:rsidRPr="002A75C5" w14:paraId="47F804B4" w14:textId="77777777" w:rsidTr="008B3A88">
        <w:trPr>
          <w:trHeight w:val="623"/>
        </w:trPr>
        <w:tc>
          <w:tcPr>
            <w:tcW w:w="1021" w:type="dxa"/>
            <w:vMerge/>
          </w:tcPr>
          <w:p w14:paraId="41C8F396" w14:textId="77777777" w:rsidR="00C04600" w:rsidRPr="002A75C5" w:rsidRDefault="00C04600" w:rsidP="00D43BA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618DC3"/>
            <w:vAlign w:val="center"/>
          </w:tcPr>
          <w:p w14:paraId="4C203FB4" w14:textId="576E3D7A" w:rsidR="00C04600" w:rsidRPr="002A75C5" w:rsidRDefault="00C04600" w:rsidP="00D43BA3">
            <w:pPr>
              <w:rPr>
                <w:rFonts w:cstheme="minorHAnsi"/>
              </w:rPr>
            </w:pPr>
            <w:r>
              <w:rPr>
                <w:color w:val="000000"/>
              </w:rPr>
              <w:t>1.4 Establish writing assessment toolkits in all year groups in order to use moderation effectively to accelerate progress</w:t>
            </w:r>
          </w:p>
        </w:tc>
        <w:tc>
          <w:tcPr>
            <w:tcW w:w="3830" w:type="dxa"/>
            <w:vMerge/>
          </w:tcPr>
          <w:p w14:paraId="72A3D3EC" w14:textId="77777777" w:rsidR="00C04600" w:rsidRPr="002A75C5" w:rsidRDefault="00C04600" w:rsidP="00D43BA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6"/>
        <w:tblW w:w="15622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5F2C0C" w:rsidRPr="002A75C5" w14:paraId="113D52D4" w14:textId="77777777" w:rsidTr="00C63545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145EBB1F" w14:textId="44607FFD" w:rsidR="005F2C0C" w:rsidRPr="002A75C5" w:rsidRDefault="008B3A88" w:rsidP="00C6354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>Implement new handwriting and spelling schemes</w:t>
            </w:r>
          </w:p>
        </w:tc>
      </w:tr>
      <w:tr w:rsidR="005F2C0C" w:rsidRPr="002A75C5" w14:paraId="2BEC7746" w14:textId="77777777" w:rsidTr="00C63545">
        <w:trPr>
          <w:trHeight w:val="917"/>
        </w:trPr>
        <w:tc>
          <w:tcPr>
            <w:tcW w:w="682" w:type="dxa"/>
            <w:shd w:val="clear" w:color="auto" w:fill="0070C0"/>
            <w:vAlign w:val="center"/>
          </w:tcPr>
          <w:p w14:paraId="789F5C30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14A0A117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7150A860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E584D7B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CA14305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19500C4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C4B32E6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5F2C0C" w:rsidRPr="002A75C5" w14:paraId="2BB89ED9" w14:textId="77777777" w:rsidTr="00C63545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29A88A7A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  <w:p w14:paraId="41D54030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>1.</w:t>
            </w: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1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2D0C516C" w14:textId="17EF3BBE" w:rsidR="005F2C0C" w:rsidRPr="000F1DEA" w:rsidRDefault="0047661D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Implement</w:t>
            </w:r>
            <w:r w:rsidR="00D43BA3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</w:t>
            </w:r>
            <w:r w:rsidR="00DA784D">
              <w:rPr>
                <w:rFonts w:cstheme="minorHAnsi"/>
                <w:color w:val="C45911" w:themeColor="accent2" w:themeShade="BF"/>
                <w:sz w:val="18"/>
                <w:szCs w:val="18"/>
              </w:rPr>
              <w:t>mew handwriting scheme</w:t>
            </w:r>
          </w:p>
        </w:tc>
        <w:tc>
          <w:tcPr>
            <w:tcW w:w="1134" w:type="dxa"/>
            <w:vMerge w:val="restart"/>
            <w:vAlign w:val="center"/>
          </w:tcPr>
          <w:p w14:paraId="4C9C69DC" w14:textId="50D23388" w:rsidR="005F2C0C" w:rsidRPr="000F1DEA" w:rsidRDefault="00DA784D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ED</w:t>
            </w:r>
          </w:p>
        </w:tc>
        <w:tc>
          <w:tcPr>
            <w:tcW w:w="1276" w:type="dxa"/>
            <w:vMerge w:val="restart"/>
            <w:vAlign w:val="center"/>
          </w:tcPr>
          <w:p w14:paraId="2795FDA8" w14:textId="2874C07C" w:rsidR="005F2C0C" w:rsidRPr="000F1DEA" w:rsidRDefault="00DA784D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SB </w:t>
            </w:r>
          </w:p>
        </w:tc>
        <w:tc>
          <w:tcPr>
            <w:tcW w:w="1417" w:type="dxa"/>
            <w:vMerge w:val="restart"/>
            <w:vAlign w:val="center"/>
          </w:tcPr>
          <w:p w14:paraId="4030DC9D" w14:textId="37C6D323" w:rsidR="005F2C0C" w:rsidRPr="000F1DEA" w:rsidRDefault="0047661D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Book looks; learning walks; data analysis </w:t>
            </w:r>
          </w:p>
        </w:tc>
        <w:tc>
          <w:tcPr>
            <w:tcW w:w="1418" w:type="dxa"/>
            <w:vMerge w:val="restart"/>
            <w:vAlign w:val="center"/>
          </w:tcPr>
          <w:p w14:paraId="2D8C50EC" w14:textId="5B0DF979" w:rsidR="00904D05" w:rsidRPr="000F1DEA" w:rsidRDefault="00677333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Management time; </w:t>
            </w:r>
            <w:r w:rsidR="001E6804">
              <w:rPr>
                <w:rFonts w:cstheme="minorHAnsi"/>
                <w:color w:val="C45911" w:themeColor="accent2" w:themeShade="BF"/>
                <w:sz w:val="18"/>
                <w:szCs w:val="18"/>
              </w:rPr>
              <w:t>training for staff</w:t>
            </w:r>
            <w:r w:rsidR="00852237">
              <w:rPr>
                <w:rFonts w:cstheme="minorHAnsi"/>
                <w:color w:val="C45911" w:themeColor="accent2" w:themeShade="BF"/>
                <w:sz w:val="18"/>
                <w:szCs w:val="18"/>
              </w:rPr>
              <w:t>; cost of programme</w:t>
            </w:r>
          </w:p>
        </w:tc>
        <w:tc>
          <w:tcPr>
            <w:tcW w:w="6237" w:type="dxa"/>
            <w:vAlign w:val="center"/>
          </w:tcPr>
          <w:p w14:paraId="7B09380F" w14:textId="1137A491" w:rsidR="005F2C0C" w:rsidRPr="000F1DEA" w:rsidRDefault="00BC1806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Improvement in presentation across the school</w:t>
            </w:r>
          </w:p>
        </w:tc>
      </w:tr>
      <w:tr w:rsidR="005F2C0C" w:rsidRPr="002A75C5" w14:paraId="0D0BE5F8" w14:textId="77777777" w:rsidTr="00C63545">
        <w:trPr>
          <w:trHeight w:val="339"/>
        </w:trPr>
        <w:tc>
          <w:tcPr>
            <w:tcW w:w="682" w:type="dxa"/>
            <w:vMerge/>
            <w:shd w:val="clear" w:color="auto" w:fill="FFFFFF" w:themeFill="background1"/>
          </w:tcPr>
          <w:p w14:paraId="64B2A6F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34BD7F5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CC2737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0962AB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E1AED00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02D94A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A56BFE1" w14:textId="06E60CC4" w:rsidR="005F2C0C" w:rsidRPr="000F1DEA" w:rsidRDefault="00BC1806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Writing stamina will increase and therefore quality of writing will improve</w:t>
            </w:r>
          </w:p>
        </w:tc>
      </w:tr>
      <w:tr w:rsidR="005F2C0C" w:rsidRPr="002A75C5" w14:paraId="1D9D6AEE" w14:textId="77777777" w:rsidTr="00C63545">
        <w:trPr>
          <w:trHeight w:val="482"/>
        </w:trPr>
        <w:tc>
          <w:tcPr>
            <w:tcW w:w="682" w:type="dxa"/>
            <w:vMerge/>
          </w:tcPr>
          <w:p w14:paraId="1C821CA9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6923066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578AF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7A7A92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3BD1B4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CBCC94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D74318A" w14:textId="7C42E8D3" w:rsidR="005F2C0C" w:rsidRPr="000F1DEA" w:rsidRDefault="00852237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Improvement in Y6 writing outcomes</w:t>
            </w:r>
            <w:r w:rsidR="00BC1806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</w:t>
            </w:r>
          </w:p>
        </w:tc>
      </w:tr>
      <w:tr w:rsidR="005F2C0C" w:rsidRPr="002A75C5" w14:paraId="61934FC9" w14:textId="77777777" w:rsidTr="00C63545">
        <w:trPr>
          <w:trHeight w:val="443"/>
        </w:trPr>
        <w:tc>
          <w:tcPr>
            <w:tcW w:w="682" w:type="dxa"/>
            <w:vMerge/>
          </w:tcPr>
          <w:p w14:paraId="3B1BE03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37764B58" w14:textId="5BEA84A4" w:rsidR="005F2C0C" w:rsidRPr="000F1DEA" w:rsidRDefault="00DA784D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Implement new spelling approach </w:t>
            </w:r>
          </w:p>
        </w:tc>
        <w:tc>
          <w:tcPr>
            <w:tcW w:w="1134" w:type="dxa"/>
            <w:vMerge w:val="restart"/>
            <w:vAlign w:val="center"/>
          </w:tcPr>
          <w:p w14:paraId="503537E0" w14:textId="1A6470FA" w:rsidR="005F2C0C" w:rsidRPr="000F1DEA" w:rsidRDefault="00DA784D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ED</w:t>
            </w:r>
          </w:p>
        </w:tc>
        <w:tc>
          <w:tcPr>
            <w:tcW w:w="1276" w:type="dxa"/>
            <w:vMerge w:val="restart"/>
            <w:vAlign w:val="center"/>
          </w:tcPr>
          <w:p w14:paraId="24AD5C1A" w14:textId="533C2473" w:rsidR="005F2C0C" w:rsidRPr="000F1DEA" w:rsidRDefault="00DA784D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SB</w:t>
            </w:r>
          </w:p>
        </w:tc>
        <w:tc>
          <w:tcPr>
            <w:tcW w:w="1417" w:type="dxa"/>
            <w:vMerge w:val="restart"/>
            <w:vAlign w:val="center"/>
          </w:tcPr>
          <w:p w14:paraId="29B30F1D" w14:textId="0E38E60B" w:rsidR="00C70973" w:rsidRPr="000F1DEA" w:rsidRDefault="0047661D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47661D">
              <w:rPr>
                <w:rFonts w:cstheme="minorHAnsi"/>
                <w:color w:val="C45911" w:themeColor="accent2" w:themeShade="BF"/>
                <w:sz w:val="18"/>
                <w:szCs w:val="18"/>
              </w:rPr>
              <w:t>Book looks; learning walks</w:t>
            </w: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; data analysis</w:t>
            </w:r>
          </w:p>
        </w:tc>
        <w:tc>
          <w:tcPr>
            <w:tcW w:w="1418" w:type="dxa"/>
            <w:vMerge w:val="restart"/>
            <w:vAlign w:val="center"/>
          </w:tcPr>
          <w:p w14:paraId="555791D1" w14:textId="025D7390" w:rsidR="007E3F8C" w:rsidRPr="000F1DEA" w:rsidRDefault="001E6804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Management time; possible purchase of a programme</w:t>
            </w:r>
          </w:p>
        </w:tc>
        <w:tc>
          <w:tcPr>
            <w:tcW w:w="6237" w:type="dxa"/>
            <w:vAlign w:val="center"/>
          </w:tcPr>
          <w:p w14:paraId="1B81E74E" w14:textId="74976F26" w:rsidR="005F2C0C" w:rsidRPr="000F1DEA" w:rsidRDefault="00852237" w:rsidP="00C63545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 xml:space="preserve">Improvement in </w:t>
            </w:r>
            <w:r w:rsidR="009A0DFA">
              <w:rPr>
                <w:color w:val="C45911" w:themeColor="accent2" w:themeShade="BF"/>
                <w:sz w:val="18"/>
                <w:szCs w:val="18"/>
              </w:rPr>
              <w:t xml:space="preserve">self- correction and general writing skills </w:t>
            </w:r>
          </w:p>
        </w:tc>
      </w:tr>
      <w:tr w:rsidR="005F2C0C" w:rsidRPr="002A75C5" w14:paraId="7A03066B" w14:textId="77777777" w:rsidTr="00C63545">
        <w:trPr>
          <w:trHeight w:val="442"/>
        </w:trPr>
        <w:tc>
          <w:tcPr>
            <w:tcW w:w="682" w:type="dxa"/>
            <w:vMerge/>
          </w:tcPr>
          <w:p w14:paraId="6B68B18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A705EC4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F0587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7E060D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BAE522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F51CF8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5654B34" w14:textId="121E1C41" w:rsidR="005F2C0C" w:rsidRPr="000F1DEA" w:rsidRDefault="00234CFA" w:rsidP="00C63545">
            <w:pPr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Quality of writing improved through ambitious vocabulary accurately spelt</w:t>
            </w:r>
          </w:p>
        </w:tc>
      </w:tr>
      <w:tr w:rsidR="005F2C0C" w:rsidRPr="002A75C5" w14:paraId="761D2193" w14:textId="77777777" w:rsidTr="00C63545">
        <w:trPr>
          <w:trHeight w:val="529"/>
        </w:trPr>
        <w:tc>
          <w:tcPr>
            <w:tcW w:w="682" w:type="dxa"/>
            <w:vMerge/>
          </w:tcPr>
          <w:p w14:paraId="611A32BA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518ED26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4EB400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5C651A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99F6F0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472946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AB3930D" w14:textId="7EFBB377" w:rsidR="005F2C0C" w:rsidRPr="000F1DEA" w:rsidRDefault="00901266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Outcomes at the end of KS2 improved in </w:t>
            </w:r>
            <w:proofErr w:type="spellStart"/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SpAG</w:t>
            </w:r>
            <w:proofErr w:type="spellEnd"/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and writing</w:t>
            </w:r>
          </w:p>
        </w:tc>
      </w:tr>
    </w:tbl>
    <w:p w14:paraId="60061E4C" w14:textId="01BC6CE0" w:rsidR="001E3A8D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  <w:r>
        <w:rPr>
          <w:rFonts w:cstheme="minorHAnsi"/>
          <w:b/>
          <w:sz w:val="18"/>
          <w:szCs w:val="28"/>
        </w:rPr>
        <w:tab/>
      </w:r>
    </w:p>
    <w:p w14:paraId="34A98B0B" w14:textId="6747EB47" w:rsidR="001E324E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</w:p>
    <w:p w14:paraId="4D1A022C" w14:textId="77777777" w:rsidR="001E324E" w:rsidRPr="002A75C5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7453CB" w:rsidRPr="002A75C5" w14:paraId="0A2C83F4" w14:textId="77777777" w:rsidTr="0041757A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04ED11C0" w14:textId="0B58808B" w:rsidR="007453CB" w:rsidRPr="002A75C5" w:rsidRDefault="008B3A88" w:rsidP="007453CB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color w:val="000000"/>
              </w:rPr>
              <w:t>Embed the three-week writing plan, linked to high quality texts, and with regular short-burst writing opportunities planned in for all year groups</w:t>
            </w:r>
          </w:p>
        </w:tc>
      </w:tr>
      <w:tr w:rsidR="007453CB" w:rsidRPr="002A75C5" w14:paraId="7EF7141F" w14:textId="77777777" w:rsidTr="0041757A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32AFB29E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CE446E2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3BB8E93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2706BDD0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A2629C1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9521FD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0C1D934C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7453CB" w:rsidRPr="002A75C5" w14:paraId="61DADF9D" w14:textId="77777777" w:rsidTr="00837F7B">
        <w:trPr>
          <w:trHeight w:val="724"/>
        </w:trPr>
        <w:tc>
          <w:tcPr>
            <w:tcW w:w="682" w:type="dxa"/>
            <w:vMerge w:val="restart"/>
            <w:shd w:val="clear" w:color="auto" w:fill="FFFFFF" w:themeFill="background1"/>
          </w:tcPr>
          <w:p w14:paraId="55D8B3B0" w14:textId="23D23D35" w:rsidR="007453CB" w:rsidRPr="002A75C5" w:rsidRDefault="007453CB" w:rsidP="00AB60C7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2761E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1DBDDAE2" w14:textId="77777777" w:rsidR="007453CB" w:rsidRPr="00C04600" w:rsidRDefault="00EA3FAF" w:rsidP="007453CB">
            <w:pPr>
              <w:rPr>
                <w:color w:val="538135" w:themeColor="accent6" w:themeShade="BF"/>
                <w:sz w:val="20"/>
                <w:szCs w:val="20"/>
              </w:rPr>
            </w:pPr>
            <w:r w:rsidRPr="00C04600">
              <w:rPr>
                <w:color w:val="538135" w:themeColor="accent6" w:themeShade="BF"/>
                <w:sz w:val="20"/>
                <w:szCs w:val="20"/>
              </w:rPr>
              <w:t>Embed the three-week writing plan, linked to high quality texts, and with regular short-burst writing opportunities planned in for all year groups</w:t>
            </w:r>
          </w:p>
          <w:p w14:paraId="1AB44E0A" w14:textId="0BBCFF80" w:rsidR="00B4121E" w:rsidRPr="00B3246B" w:rsidRDefault="00B4121E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CE1811D" w14:textId="6DB343BC" w:rsidR="007453CB" w:rsidRPr="00B3246B" w:rsidRDefault="00EA3FA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ED</w:t>
            </w:r>
          </w:p>
        </w:tc>
        <w:tc>
          <w:tcPr>
            <w:tcW w:w="1276" w:type="dxa"/>
            <w:vMerge w:val="restart"/>
            <w:vAlign w:val="center"/>
          </w:tcPr>
          <w:p w14:paraId="34EB93F9" w14:textId="086CC9F2" w:rsidR="007453CB" w:rsidRPr="00B3246B" w:rsidRDefault="00EA3FA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SB</w:t>
            </w:r>
          </w:p>
        </w:tc>
        <w:tc>
          <w:tcPr>
            <w:tcW w:w="1417" w:type="dxa"/>
            <w:vMerge w:val="restart"/>
            <w:vAlign w:val="center"/>
          </w:tcPr>
          <w:p w14:paraId="7198C6F6" w14:textId="75878461" w:rsidR="007B4143" w:rsidRPr="00B3246B" w:rsidRDefault="00EA3FA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 xml:space="preserve">Book look; planning checks </w:t>
            </w:r>
          </w:p>
        </w:tc>
        <w:tc>
          <w:tcPr>
            <w:tcW w:w="1418" w:type="dxa"/>
            <w:vMerge w:val="restart"/>
            <w:vAlign w:val="center"/>
          </w:tcPr>
          <w:p w14:paraId="5A23DA2F" w14:textId="4AACAEA2" w:rsidR="007453CB" w:rsidRPr="00B3246B" w:rsidRDefault="008352C0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Management</w:t>
            </w:r>
            <w:r w:rsidR="00EA3FAF">
              <w:rPr>
                <w:rFonts w:cstheme="minorHAnsi"/>
                <w:color w:val="00B050"/>
                <w:sz w:val="18"/>
                <w:szCs w:val="18"/>
              </w:rPr>
              <w:t xml:space="preserve"> time; consultant visits; </w:t>
            </w:r>
            <w:r>
              <w:rPr>
                <w:rFonts w:cstheme="minorHAnsi"/>
                <w:color w:val="00B050"/>
                <w:sz w:val="18"/>
                <w:szCs w:val="18"/>
              </w:rPr>
              <w:t>moderation</w:t>
            </w:r>
          </w:p>
        </w:tc>
        <w:tc>
          <w:tcPr>
            <w:tcW w:w="6237" w:type="dxa"/>
            <w:vAlign w:val="center"/>
          </w:tcPr>
          <w:p w14:paraId="39D0CF5C" w14:textId="65A67DE7" w:rsidR="007453CB" w:rsidRPr="00B3246B" w:rsidRDefault="005F2F7E" w:rsidP="007453C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Planning will include opportunities to write frequently and to edit repeatedly. This will build up stamina and skill in writing for a variety of </w:t>
            </w:r>
            <w:r w:rsidR="00C4328E">
              <w:rPr>
                <w:color w:val="00B050"/>
                <w:sz w:val="18"/>
                <w:szCs w:val="18"/>
              </w:rPr>
              <w:t>purposes and</w:t>
            </w:r>
            <w:r>
              <w:rPr>
                <w:color w:val="00B050"/>
                <w:sz w:val="18"/>
                <w:szCs w:val="18"/>
              </w:rPr>
              <w:t xml:space="preserve"> offers deliberate practise for skills </w:t>
            </w:r>
            <w:r w:rsidR="00C4328E">
              <w:rPr>
                <w:color w:val="00B050"/>
                <w:sz w:val="18"/>
                <w:szCs w:val="18"/>
              </w:rPr>
              <w:t>learnt.</w:t>
            </w:r>
          </w:p>
        </w:tc>
      </w:tr>
      <w:tr w:rsidR="0075180F" w:rsidRPr="002A75C5" w14:paraId="2CB33A65" w14:textId="77777777" w:rsidTr="00837F7B">
        <w:trPr>
          <w:trHeight w:val="724"/>
        </w:trPr>
        <w:tc>
          <w:tcPr>
            <w:tcW w:w="682" w:type="dxa"/>
            <w:vMerge/>
            <w:shd w:val="clear" w:color="auto" w:fill="FFFFFF" w:themeFill="background1"/>
          </w:tcPr>
          <w:p w14:paraId="15006F88" w14:textId="77777777" w:rsidR="0075180F" w:rsidRPr="002A75C5" w:rsidRDefault="0075180F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4CC3836B" w14:textId="77777777" w:rsidR="0075180F" w:rsidRPr="00B3246B" w:rsidRDefault="0075180F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957B40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A5FA1A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2788599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4AA035E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94FFD40" w14:textId="5C5180F0" w:rsidR="0075180F" w:rsidRPr="00B3246B" w:rsidRDefault="00C4328E" w:rsidP="007453C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Learners will follow a carefully constructed plan which leads efficiently to a final piece of writing to showcase the skills learnt in the unit. Planning reflects the national curriculum</w:t>
            </w:r>
          </w:p>
        </w:tc>
      </w:tr>
      <w:tr w:rsidR="005656A5" w:rsidRPr="002A75C5" w14:paraId="2EAC6624" w14:textId="77777777" w:rsidTr="00837F7B">
        <w:trPr>
          <w:trHeight w:val="724"/>
        </w:trPr>
        <w:tc>
          <w:tcPr>
            <w:tcW w:w="682" w:type="dxa"/>
            <w:vMerge/>
            <w:shd w:val="clear" w:color="auto" w:fill="FFFFFF" w:themeFill="background1"/>
          </w:tcPr>
          <w:p w14:paraId="73C13644" w14:textId="77777777" w:rsidR="005656A5" w:rsidRPr="002A75C5" w:rsidRDefault="005656A5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564BC10B" w14:textId="77777777" w:rsidR="005656A5" w:rsidRPr="00B3246B" w:rsidRDefault="005656A5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39A408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568300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2EC6467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1D48F3E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8836D5" w14:textId="52E2F513" w:rsidR="005656A5" w:rsidRPr="00B3246B" w:rsidRDefault="00EC1DA5" w:rsidP="007453C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The use of </w:t>
            </w:r>
            <w:proofErr w:type="gramStart"/>
            <w:r>
              <w:rPr>
                <w:color w:val="00B050"/>
                <w:sz w:val="18"/>
                <w:szCs w:val="18"/>
              </w:rPr>
              <w:t>high quality</w:t>
            </w:r>
            <w:proofErr w:type="gramEnd"/>
            <w:r>
              <w:rPr>
                <w:color w:val="00B050"/>
                <w:sz w:val="18"/>
                <w:szCs w:val="18"/>
              </w:rPr>
              <w:t xml:space="preserve"> texts will provide learners with the vocabulary they need as well </w:t>
            </w:r>
            <w:r w:rsidR="006667B1">
              <w:rPr>
                <w:color w:val="00B050"/>
                <w:sz w:val="18"/>
                <w:szCs w:val="18"/>
              </w:rPr>
              <w:t>as</w:t>
            </w:r>
            <w:r>
              <w:rPr>
                <w:color w:val="00B050"/>
                <w:sz w:val="18"/>
                <w:szCs w:val="18"/>
              </w:rPr>
              <w:t xml:space="preserve"> the </w:t>
            </w:r>
            <w:r w:rsidR="006667B1">
              <w:rPr>
                <w:color w:val="00B050"/>
                <w:sz w:val="18"/>
                <w:szCs w:val="18"/>
              </w:rPr>
              <w:t>innate</w:t>
            </w:r>
            <w:r>
              <w:rPr>
                <w:color w:val="00B050"/>
                <w:sz w:val="18"/>
                <w:szCs w:val="18"/>
              </w:rPr>
              <w:t xml:space="preserve"> structure, to build on their </w:t>
            </w:r>
            <w:r w:rsidR="006667B1">
              <w:rPr>
                <w:color w:val="00B050"/>
                <w:sz w:val="18"/>
                <w:szCs w:val="18"/>
              </w:rPr>
              <w:t>own existing language and therefore become more confident and capable writers.</w:t>
            </w:r>
          </w:p>
        </w:tc>
      </w:tr>
      <w:tr w:rsidR="007453CB" w:rsidRPr="002A75C5" w14:paraId="58E12B42" w14:textId="77777777" w:rsidTr="00837F7B">
        <w:trPr>
          <w:trHeight w:val="706"/>
        </w:trPr>
        <w:tc>
          <w:tcPr>
            <w:tcW w:w="682" w:type="dxa"/>
            <w:vMerge/>
          </w:tcPr>
          <w:p w14:paraId="4B94D5A5" w14:textId="77777777" w:rsidR="007453CB" w:rsidRPr="002A75C5" w:rsidRDefault="007453CB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DEEC669" w14:textId="77777777" w:rsidR="007453CB" w:rsidRPr="00B3246B" w:rsidRDefault="007453CB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56B9AB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FB0818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49F31CB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3128261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436CAC" w14:textId="7CA7D08E" w:rsidR="007453CB" w:rsidRPr="00B3246B" w:rsidRDefault="00EA3FAF" w:rsidP="007453C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Planning to reflect appropriate Key Stage outcomes and through the use of TAFs, accurate assessment ensures the outcomes of learners are s</w:t>
            </w:r>
            <w:r w:rsidR="008352C0">
              <w:rPr>
                <w:color w:val="00B050"/>
                <w:sz w:val="18"/>
                <w:szCs w:val="18"/>
              </w:rPr>
              <w:t>ecure and can be built upon successfully throughout the school</w:t>
            </w:r>
          </w:p>
        </w:tc>
      </w:tr>
    </w:tbl>
    <w:p w14:paraId="637805D2" w14:textId="77777777" w:rsidR="0041757A" w:rsidRDefault="0041757A"/>
    <w:tbl>
      <w:tblPr>
        <w:tblStyle w:val="TableGrid"/>
        <w:tblpPr w:leftFromText="180" w:rightFromText="180" w:vertAnchor="text" w:horzAnchor="margin" w:tblpY="539"/>
        <w:tblW w:w="15622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F208B4" w:rsidRPr="002A75C5" w14:paraId="1B61DBC4" w14:textId="77777777" w:rsidTr="00F208B4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E182C0" w14:textId="725EA9B6" w:rsidR="00F208B4" w:rsidRPr="002A75C5" w:rsidRDefault="00F208B4" w:rsidP="00F208B4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rFonts w:cstheme="minorHAnsi"/>
              </w:rPr>
              <w:t>1.</w:t>
            </w:r>
            <w:r w:rsidR="00FE5E67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8B3A88">
              <w:rPr>
                <w:color w:val="000000"/>
              </w:rPr>
              <w:t xml:space="preserve"> Develop</w:t>
            </w:r>
            <w:proofErr w:type="gramEnd"/>
            <w:r w:rsidR="008B3A88">
              <w:rPr>
                <w:color w:val="000000"/>
              </w:rPr>
              <w:t xml:space="preserve"> modelling approaches in writing with high expectations to ensure that there is regular opportunity to write at greater depth with appropriate scaffolds in place</w:t>
            </w:r>
          </w:p>
        </w:tc>
      </w:tr>
      <w:tr w:rsidR="00F208B4" w:rsidRPr="002A75C5" w14:paraId="67312387" w14:textId="77777777" w:rsidTr="00F208B4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1438A3C8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BEFDE43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2E896F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05B19AD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1F4DE17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9F8BC79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46633691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F208B4" w:rsidRPr="002A75C5" w14:paraId="367835CE" w14:textId="77777777" w:rsidTr="00F208B4">
        <w:trPr>
          <w:trHeight w:val="443"/>
        </w:trPr>
        <w:tc>
          <w:tcPr>
            <w:tcW w:w="682" w:type="dxa"/>
            <w:vMerge w:val="restart"/>
          </w:tcPr>
          <w:p w14:paraId="632CDD7D" w14:textId="4FF15EF2" w:rsidR="00F208B4" w:rsidRPr="002A75C5" w:rsidRDefault="00FE5E67" w:rsidP="00F208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3458" w:type="dxa"/>
            <w:vMerge w:val="restart"/>
            <w:vAlign w:val="center"/>
          </w:tcPr>
          <w:p w14:paraId="4B39F062" w14:textId="01A58519" w:rsidR="00F208B4" w:rsidRPr="00F5688F" w:rsidRDefault="006667B1" w:rsidP="00F208B4">
            <w:pPr>
              <w:rPr>
                <w:color w:val="4472C4" w:themeColor="accent1"/>
                <w:sz w:val="18"/>
                <w:szCs w:val="18"/>
              </w:rPr>
            </w:pPr>
            <w:r w:rsidRPr="00F5688F">
              <w:rPr>
                <w:color w:val="4472C4" w:themeColor="accent1"/>
                <w:sz w:val="18"/>
                <w:szCs w:val="18"/>
              </w:rPr>
              <w:t xml:space="preserve">Show teachers how to model effectively </w:t>
            </w:r>
          </w:p>
        </w:tc>
        <w:tc>
          <w:tcPr>
            <w:tcW w:w="1134" w:type="dxa"/>
            <w:vMerge w:val="restart"/>
            <w:vAlign w:val="center"/>
          </w:tcPr>
          <w:p w14:paraId="08C7AFA1" w14:textId="039C1C75" w:rsidR="00F208B4" w:rsidRPr="00F5688F" w:rsidRDefault="006667B1" w:rsidP="00F208B4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5688F">
              <w:rPr>
                <w:color w:val="4472C4" w:themeColor="accent1"/>
                <w:sz w:val="18"/>
                <w:szCs w:val="18"/>
              </w:rPr>
              <w:t>ED/ SB</w:t>
            </w:r>
          </w:p>
        </w:tc>
        <w:tc>
          <w:tcPr>
            <w:tcW w:w="1276" w:type="dxa"/>
            <w:vMerge w:val="restart"/>
            <w:vAlign w:val="center"/>
          </w:tcPr>
          <w:p w14:paraId="6FA966A9" w14:textId="6E58A0E5" w:rsidR="00F208B4" w:rsidRPr="00F5688F" w:rsidRDefault="006667B1" w:rsidP="00F208B4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5688F">
              <w:rPr>
                <w:color w:val="4472C4" w:themeColor="accent1"/>
                <w:sz w:val="18"/>
                <w:szCs w:val="18"/>
              </w:rPr>
              <w:t>SB</w:t>
            </w:r>
          </w:p>
        </w:tc>
        <w:tc>
          <w:tcPr>
            <w:tcW w:w="1417" w:type="dxa"/>
            <w:vMerge w:val="restart"/>
            <w:vAlign w:val="center"/>
          </w:tcPr>
          <w:p w14:paraId="50D463EB" w14:textId="5C5A1292" w:rsidR="00F208B4" w:rsidRPr="00F5688F" w:rsidRDefault="00F5688F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F5688F">
              <w:rPr>
                <w:rFonts w:cstheme="minorHAnsi"/>
                <w:color w:val="4472C4" w:themeColor="accent1"/>
                <w:sz w:val="18"/>
                <w:szCs w:val="18"/>
              </w:rPr>
              <w:t xml:space="preserve">Learning walks </w:t>
            </w:r>
          </w:p>
        </w:tc>
        <w:tc>
          <w:tcPr>
            <w:tcW w:w="1418" w:type="dxa"/>
            <w:vMerge w:val="restart"/>
            <w:vAlign w:val="center"/>
          </w:tcPr>
          <w:p w14:paraId="7F0A1864" w14:textId="1C380772" w:rsidR="000A589C" w:rsidRPr="00F5688F" w:rsidRDefault="00F5688F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>
              <w:rPr>
                <w:rFonts w:cstheme="minorHAnsi"/>
                <w:color w:val="4472C4" w:themeColor="accent1"/>
                <w:sz w:val="18"/>
                <w:szCs w:val="18"/>
              </w:rPr>
              <w:t>Management time / staff meeting time</w:t>
            </w:r>
          </w:p>
        </w:tc>
        <w:tc>
          <w:tcPr>
            <w:tcW w:w="6237" w:type="dxa"/>
            <w:vAlign w:val="center"/>
          </w:tcPr>
          <w:p w14:paraId="4156B55B" w14:textId="5E82D5A8" w:rsidR="00F208B4" w:rsidRPr="00F5688F" w:rsidRDefault="00187ACC" w:rsidP="00F208B4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Teachers provide a model that is superior to expectation for </w:t>
            </w:r>
            <w:proofErr w:type="spellStart"/>
            <w:r>
              <w:rPr>
                <w:color w:val="4472C4" w:themeColor="accent1"/>
                <w:sz w:val="18"/>
                <w:szCs w:val="18"/>
              </w:rPr>
              <w:t>chn</w:t>
            </w:r>
            <w:proofErr w:type="spellEnd"/>
          </w:p>
        </w:tc>
      </w:tr>
      <w:tr w:rsidR="00F208B4" w:rsidRPr="002A75C5" w14:paraId="1835A3B1" w14:textId="77777777" w:rsidTr="00F208B4">
        <w:trPr>
          <w:trHeight w:val="218"/>
        </w:trPr>
        <w:tc>
          <w:tcPr>
            <w:tcW w:w="682" w:type="dxa"/>
            <w:vMerge/>
          </w:tcPr>
          <w:p w14:paraId="3CB50032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6D54846" w14:textId="77777777" w:rsidR="00F208B4" w:rsidRPr="00F5688F" w:rsidRDefault="00F208B4" w:rsidP="00F208B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F424B32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4B859E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551F10B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398E32D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B500753" w14:textId="75861FF4" w:rsidR="00F208B4" w:rsidRPr="00F5688F" w:rsidRDefault="00187ACC" w:rsidP="00F208B4">
            <w:pPr>
              <w:rPr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color w:val="4472C4" w:themeColor="accent1"/>
                <w:sz w:val="18"/>
                <w:szCs w:val="18"/>
              </w:rPr>
              <w:t>Chn</w:t>
            </w:r>
            <w:proofErr w:type="spellEnd"/>
            <w:r>
              <w:rPr>
                <w:color w:val="4472C4" w:themeColor="accent1"/>
                <w:sz w:val="18"/>
                <w:szCs w:val="18"/>
              </w:rPr>
              <w:t xml:space="preserve"> magpie high quality writing and therefore reach better outcomes</w:t>
            </w:r>
          </w:p>
        </w:tc>
      </w:tr>
      <w:tr w:rsidR="00F208B4" w:rsidRPr="002A75C5" w14:paraId="43264124" w14:textId="77777777" w:rsidTr="006667B1">
        <w:trPr>
          <w:trHeight w:val="70"/>
        </w:trPr>
        <w:tc>
          <w:tcPr>
            <w:tcW w:w="682" w:type="dxa"/>
            <w:vMerge/>
          </w:tcPr>
          <w:p w14:paraId="5CD57B0A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4DE2240" w14:textId="77777777" w:rsidR="00F208B4" w:rsidRPr="00F5688F" w:rsidRDefault="00F208B4" w:rsidP="00F208B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D4AF24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4FD343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B68B3B6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AC34F6A" w14:textId="77777777" w:rsidR="00F208B4" w:rsidRPr="00F5688F" w:rsidRDefault="00F208B4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1CA90EA" w14:textId="7E5D1FC5" w:rsidR="00F208B4" w:rsidRPr="00F5688F" w:rsidRDefault="00187ACC" w:rsidP="00F208B4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Teachers provide opportunities for HA to reach </w:t>
            </w:r>
            <w:r w:rsidR="00F86844">
              <w:rPr>
                <w:color w:val="4472C4" w:themeColor="accent1"/>
                <w:sz w:val="18"/>
                <w:szCs w:val="18"/>
              </w:rPr>
              <w:t>GD through</w:t>
            </w:r>
            <w:r>
              <w:rPr>
                <w:color w:val="4472C4" w:themeColor="accent1"/>
                <w:sz w:val="18"/>
                <w:szCs w:val="18"/>
              </w:rPr>
              <w:t xml:space="preserve"> </w:t>
            </w:r>
            <w:r w:rsidR="005443F0">
              <w:rPr>
                <w:color w:val="4472C4" w:themeColor="accent1"/>
                <w:sz w:val="18"/>
                <w:szCs w:val="18"/>
              </w:rPr>
              <w:t xml:space="preserve">exposure </w:t>
            </w:r>
            <w:r>
              <w:rPr>
                <w:color w:val="4472C4" w:themeColor="accent1"/>
                <w:sz w:val="18"/>
                <w:szCs w:val="18"/>
              </w:rPr>
              <w:t xml:space="preserve">to higher quality </w:t>
            </w:r>
            <w:r w:rsidR="005443F0">
              <w:rPr>
                <w:color w:val="4472C4" w:themeColor="accent1"/>
                <w:sz w:val="18"/>
                <w:szCs w:val="18"/>
              </w:rPr>
              <w:t xml:space="preserve">learning talk and </w:t>
            </w:r>
            <w:r w:rsidR="00733288">
              <w:rPr>
                <w:color w:val="4472C4" w:themeColor="accent1"/>
                <w:sz w:val="18"/>
                <w:szCs w:val="18"/>
              </w:rPr>
              <w:t>metacognition</w:t>
            </w:r>
          </w:p>
        </w:tc>
      </w:tr>
      <w:tr w:rsidR="00F208B4" w:rsidRPr="002A75C5" w14:paraId="25AC25CA" w14:textId="77777777" w:rsidTr="00F208B4">
        <w:trPr>
          <w:trHeight w:val="461"/>
        </w:trPr>
        <w:tc>
          <w:tcPr>
            <w:tcW w:w="682" w:type="dxa"/>
            <w:vMerge/>
          </w:tcPr>
          <w:p w14:paraId="2D9DDDA4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1C4CB512" w14:textId="58EFDB90" w:rsidR="00F208B4" w:rsidRPr="00F5688F" w:rsidRDefault="00F5688F" w:rsidP="00F208B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r>
              <w:rPr>
                <w:rFonts w:cstheme="minorHAnsi"/>
                <w:color w:val="4472C4" w:themeColor="accent1"/>
                <w:sz w:val="18"/>
                <w:szCs w:val="18"/>
              </w:rPr>
              <w:t>Ensure scaffold</w:t>
            </w:r>
            <w:r w:rsidR="00187ACC">
              <w:rPr>
                <w:rFonts w:cstheme="minorHAnsi"/>
                <w:color w:val="4472C4" w:themeColor="accent1"/>
                <w:sz w:val="18"/>
                <w:szCs w:val="18"/>
              </w:rPr>
              <w:t>s</w:t>
            </w:r>
            <w:r>
              <w:rPr>
                <w:rFonts w:cstheme="minorHAnsi"/>
                <w:color w:val="4472C4" w:themeColor="accent1"/>
                <w:sz w:val="18"/>
                <w:szCs w:val="18"/>
              </w:rPr>
              <w:t xml:space="preserve"> are provided for learners who need them – supporting learners to reach their best</w:t>
            </w:r>
            <w:r w:rsidR="00733288">
              <w:rPr>
                <w:rFonts w:cstheme="minorHAnsi"/>
                <w:color w:val="4472C4" w:themeColor="accent1"/>
                <w:sz w:val="18"/>
                <w:szCs w:val="18"/>
              </w:rPr>
              <w:t xml:space="preserve"> – including HA</w:t>
            </w:r>
          </w:p>
        </w:tc>
        <w:tc>
          <w:tcPr>
            <w:tcW w:w="1134" w:type="dxa"/>
            <w:vMerge w:val="restart"/>
            <w:vAlign w:val="center"/>
          </w:tcPr>
          <w:p w14:paraId="45CB3ADF" w14:textId="435F360C" w:rsidR="00F208B4" w:rsidRPr="00F5688F" w:rsidRDefault="00F5688F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>
              <w:rPr>
                <w:rFonts w:cstheme="minorHAnsi"/>
                <w:color w:val="4472C4" w:themeColor="accent1"/>
                <w:sz w:val="18"/>
                <w:szCs w:val="18"/>
              </w:rPr>
              <w:t xml:space="preserve">ED/ SB </w:t>
            </w:r>
          </w:p>
        </w:tc>
        <w:tc>
          <w:tcPr>
            <w:tcW w:w="1276" w:type="dxa"/>
            <w:vMerge w:val="restart"/>
            <w:vAlign w:val="center"/>
          </w:tcPr>
          <w:p w14:paraId="209E53DB" w14:textId="5A015DCE" w:rsidR="00F208B4" w:rsidRPr="00F5688F" w:rsidRDefault="00187ACC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>
              <w:rPr>
                <w:rFonts w:cstheme="minorHAnsi"/>
                <w:color w:val="4472C4" w:themeColor="accent1"/>
                <w:sz w:val="18"/>
                <w:szCs w:val="18"/>
              </w:rPr>
              <w:t>SB</w:t>
            </w:r>
          </w:p>
        </w:tc>
        <w:tc>
          <w:tcPr>
            <w:tcW w:w="1417" w:type="dxa"/>
            <w:vMerge w:val="restart"/>
            <w:vAlign w:val="center"/>
          </w:tcPr>
          <w:p w14:paraId="7503C00A" w14:textId="2C01FEAE" w:rsidR="00F208B4" w:rsidRPr="00F5688F" w:rsidRDefault="00187ACC" w:rsidP="00F208B4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>
              <w:rPr>
                <w:rFonts w:cstheme="minorHAnsi"/>
                <w:color w:val="4472C4" w:themeColor="accent1"/>
                <w:sz w:val="18"/>
                <w:szCs w:val="18"/>
              </w:rPr>
              <w:t>Learning walks/ book looks</w:t>
            </w:r>
          </w:p>
        </w:tc>
        <w:tc>
          <w:tcPr>
            <w:tcW w:w="1418" w:type="dxa"/>
            <w:vMerge w:val="restart"/>
            <w:vAlign w:val="center"/>
          </w:tcPr>
          <w:p w14:paraId="2BEB246A" w14:textId="2F8369A6" w:rsidR="00F208B4" w:rsidRPr="00F5688F" w:rsidRDefault="00187ACC" w:rsidP="000A589C">
            <w:pPr>
              <w:jc w:val="center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187ACC">
              <w:rPr>
                <w:rFonts w:cstheme="minorHAnsi"/>
                <w:color w:val="4472C4" w:themeColor="accent1"/>
                <w:sz w:val="18"/>
                <w:szCs w:val="18"/>
              </w:rPr>
              <w:t>Management time / staff meeting time</w:t>
            </w:r>
          </w:p>
        </w:tc>
        <w:tc>
          <w:tcPr>
            <w:tcW w:w="6237" w:type="dxa"/>
            <w:vAlign w:val="center"/>
          </w:tcPr>
          <w:p w14:paraId="76E0B5D2" w14:textId="4EC9CAAE" w:rsidR="00F208B4" w:rsidRPr="00F5688F" w:rsidRDefault="00F86844" w:rsidP="00F208B4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4472C4" w:themeColor="accent1"/>
                <w:sz w:val="18"/>
                <w:szCs w:val="18"/>
              </w:rPr>
              <w:t>Chn</w:t>
            </w:r>
            <w:proofErr w:type="spellEnd"/>
            <w:r>
              <w:rPr>
                <w:rFonts w:cstheme="minorHAnsi"/>
                <w:color w:val="4472C4" w:themeColor="accent1"/>
                <w:sz w:val="18"/>
                <w:szCs w:val="18"/>
              </w:rPr>
              <w:t xml:space="preserve"> will be supported to reach the best outcomes, as the challenge is set to stretch HA and support those who require it.</w:t>
            </w:r>
          </w:p>
        </w:tc>
      </w:tr>
      <w:tr w:rsidR="00F208B4" w:rsidRPr="002A75C5" w14:paraId="273B27D7" w14:textId="77777777" w:rsidTr="00F208B4">
        <w:trPr>
          <w:trHeight w:val="300"/>
        </w:trPr>
        <w:tc>
          <w:tcPr>
            <w:tcW w:w="682" w:type="dxa"/>
            <w:vMerge/>
          </w:tcPr>
          <w:p w14:paraId="58326A75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12AED90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E865BD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93AE86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89AFA42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C7F9CEE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6B41FF7" w14:textId="66EE2175" w:rsidR="00F208B4" w:rsidRPr="00BE2846" w:rsidRDefault="006E55FD" w:rsidP="00F208B4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 xml:space="preserve">Teachers will be aware of the next steps for </w:t>
            </w:r>
            <w:proofErr w:type="spellStart"/>
            <w:r>
              <w:rPr>
                <w:rFonts w:cstheme="minorHAnsi"/>
                <w:color w:val="0070C0"/>
                <w:sz w:val="18"/>
                <w:szCs w:val="18"/>
              </w:rPr>
              <w:t>chn</w:t>
            </w:r>
            <w:proofErr w:type="spellEnd"/>
            <w:r>
              <w:rPr>
                <w:rFonts w:cstheme="minorHAnsi"/>
                <w:color w:val="0070C0"/>
                <w:sz w:val="18"/>
                <w:szCs w:val="18"/>
              </w:rPr>
              <w:t xml:space="preserve"> and ensure they know how to get them there. </w:t>
            </w:r>
          </w:p>
        </w:tc>
      </w:tr>
    </w:tbl>
    <w:p w14:paraId="463F29E8" w14:textId="77777777" w:rsidR="00AC2209" w:rsidRDefault="00AC2209"/>
    <w:p w14:paraId="3B7B4B86" w14:textId="77777777" w:rsidR="00AC2209" w:rsidRDefault="00AC2209"/>
    <w:p w14:paraId="3A0FF5F2" w14:textId="77777777" w:rsidR="00AC2209" w:rsidRDefault="00AC2209"/>
    <w:p w14:paraId="5630AD66" w14:textId="77777777" w:rsidR="00AC2209" w:rsidRDefault="00AC2209"/>
    <w:p w14:paraId="61829076" w14:textId="77777777" w:rsidR="00AC2209" w:rsidRDefault="00AC2209"/>
    <w:p w14:paraId="2BA226A1" w14:textId="77777777" w:rsidR="00AC2209" w:rsidRDefault="00AC2209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559"/>
        <w:gridCol w:w="6096"/>
      </w:tblGrid>
      <w:tr w:rsidR="0041757A" w:rsidRPr="002A75C5" w14:paraId="69F6CE5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45BB403E" w14:textId="1657EDA7" w:rsidR="0041757A" w:rsidRPr="002A75C5" w:rsidRDefault="008B3A88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color w:val="000000"/>
              </w:rPr>
              <w:t>Establish writing assessment toolkits in all year groups in order to use moderation effectively to accelerate progress</w:t>
            </w:r>
          </w:p>
        </w:tc>
      </w:tr>
      <w:tr w:rsidR="0041757A" w:rsidRPr="002A75C5" w14:paraId="32C56F25" w14:textId="77777777" w:rsidTr="00C56066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5837B4E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2DEDCF4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B821B4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83BB04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A13173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4AE2651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096" w:type="dxa"/>
            <w:shd w:val="clear" w:color="auto" w:fill="0070C0"/>
            <w:vAlign w:val="center"/>
          </w:tcPr>
          <w:p w14:paraId="372ACB9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4C6096" w:rsidRPr="002A75C5" w14:paraId="3FBD6A8C" w14:textId="77777777" w:rsidTr="00C56066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17AD93B2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  <w:p w14:paraId="39D7D509" w14:textId="77F3C5BF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FE5E6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0C8E72F7" w14:textId="31BF54FC" w:rsidR="004C6096" w:rsidRPr="00FC2B59" w:rsidRDefault="008A1E40" w:rsidP="0024112E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To provide and utilise TAFs </w:t>
            </w:r>
          </w:p>
        </w:tc>
        <w:tc>
          <w:tcPr>
            <w:tcW w:w="1134" w:type="dxa"/>
            <w:vMerge w:val="restart"/>
            <w:vAlign w:val="center"/>
          </w:tcPr>
          <w:p w14:paraId="3C27EF7B" w14:textId="4676DFCA" w:rsidR="004C6096" w:rsidRPr="001E3A8D" w:rsidRDefault="006E55FD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ED/HW</w:t>
            </w:r>
          </w:p>
        </w:tc>
        <w:tc>
          <w:tcPr>
            <w:tcW w:w="1276" w:type="dxa"/>
            <w:vMerge w:val="restart"/>
            <w:vAlign w:val="center"/>
          </w:tcPr>
          <w:p w14:paraId="7A13CE7E" w14:textId="59685E53" w:rsidR="004C6096" w:rsidRPr="00DC47B6" w:rsidRDefault="006E55FD" w:rsidP="0024112E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SB</w:t>
            </w:r>
          </w:p>
        </w:tc>
        <w:tc>
          <w:tcPr>
            <w:tcW w:w="1417" w:type="dxa"/>
            <w:vMerge w:val="restart"/>
            <w:vAlign w:val="center"/>
          </w:tcPr>
          <w:p w14:paraId="5C1C8504" w14:textId="021AA3A3" w:rsidR="004C6096" w:rsidRPr="00DC47B6" w:rsidRDefault="00E74447" w:rsidP="0024112E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Book looks / planning </w:t>
            </w:r>
          </w:p>
        </w:tc>
        <w:tc>
          <w:tcPr>
            <w:tcW w:w="1559" w:type="dxa"/>
            <w:vMerge w:val="restart"/>
            <w:vAlign w:val="center"/>
          </w:tcPr>
          <w:p w14:paraId="02CA5BCA" w14:textId="2C731366" w:rsidR="004C6096" w:rsidRPr="00DC47B6" w:rsidRDefault="00E74447" w:rsidP="0024112E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Management time</w:t>
            </w:r>
          </w:p>
        </w:tc>
        <w:tc>
          <w:tcPr>
            <w:tcW w:w="6096" w:type="dxa"/>
            <w:vAlign w:val="center"/>
          </w:tcPr>
          <w:p w14:paraId="519442E1" w14:textId="189348EA" w:rsidR="004C6096" w:rsidRPr="00735349" w:rsidRDefault="00735349" w:rsidP="00E74447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Teachers will look carefully at TAFs to ensure teaching time is spent doing what is necessary</w:t>
            </w:r>
            <w:r w:rsidR="00EB245E">
              <w:rPr>
                <w:rFonts w:cstheme="minorHAnsi"/>
                <w:color w:val="ED7D31" w:themeColor="accent2"/>
                <w:sz w:val="18"/>
                <w:szCs w:val="18"/>
              </w:rPr>
              <w:t xml:space="preserve">, meeting the expectations of the appropriate age group. </w:t>
            </w:r>
          </w:p>
        </w:tc>
      </w:tr>
      <w:tr w:rsidR="00143028" w:rsidRPr="00EB245E" w14:paraId="2DD4089E" w14:textId="77777777" w:rsidTr="00C56066">
        <w:trPr>
          <w:trHeight w:val="984"/>
        </w:trPr>
        <w:tc>
          <w:tcPr>
            <w:tcW w:w="682" w:type="dxa"/>
            <w:vMerge/>
          </w:tcPr>
          <w:p w14:paraId="0DE4B5B7" w14:textId="77777777" w:rsidR="00143028" w:rsidRPr="00EB245E" w:rsidRDefault="00143028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66204FF1" w14:textId="77777777" w:rsidR="00143028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BF0D7D" w14:textId="77777777" w:rsidR="00143028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62F1B3" w14:textId="77777777" w:rsidR="00143028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F2C34E" w14:textId="77777777" w:rsidR="00143028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0A4E5D" w14:textId="77777777" w:rsidR="00143028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14:paraId="1C7C2632" w14:textId="1F06B657" w:rsidR="00143028" w:rsidRPr="00EB245E" w:rsidRDefault="00143028" w:rsidP="00EB245E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Staff will understand age appropriate SK4T&amp;L and will provide </w:t>
            </w:r>
            <w:proofErr w:type="spellStart"/>
            <w:r>
              <w:rPr>
                <w:rFonts w:cstheme="minorHAnsi"/>
                <w:color w:val="ED7D31" w:themeColor="accent2"/>
                <w:sz w:val="18"/>
                <w:szCs w:val="18"/>
              </w:rPr>
              <w:t>chn</w:t>
            </w:r>
            <w:proofErr w:type="spellEnd"/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 with the learning they need to prevent cognitive overload. </w:t>
            </w:r>
          </w:p>
        </w:tc>
      </w:tr>
      <w:tr w:rsidR="004C6096" w:rsidRPr="00EB245E" w14:paraId="055F1FFC" w14:textId="77777777" w:rsidTr="00C56066">
        <w:trPr>
          <w:trHeight w:val="330"/>
        </w:trPr>
        <w:tc>
          <w:tcPr>
            <w:tcW w:w="682" w:type="dxa"/>
            <w:vMerge/>
          </w:tcPr>
          <w:p w14:paraId="3F59F8D5" w14:textId="77777777" w:rsidR="004C6096" w:rsidRPr="00EB245E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79ABD08D" w14:textId="4614B0CF" w:rsidR="004C6096" w:rsidRPr="00EB245E" w:rsidRDefault="004A5070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To provide ‘toolkits’ for </w:t>
            </w:r>
            <w:proofErr w:type="spellStart"/>
            <w:r>
              <w:rPr>
                <w:rFonts w:cstheme="minorHAnsi"/>
                <w:color w:val="FF6600"/>
                <w:sz w:val="18"/>
                <w:szCs w:val="18"/>
              </w:rPr>
              <w:t>chn</w:t>
            </w:r>
            <w:proofErr w:type="spellEnd"/>
            <w:r w:rsidR="00702162">
              <w:rPr>
                <w:rFonts w:cstheme="minorHAnsi"/>
                <w:color w:val="FF6600"/>
                <w:sz w:val="18"/>
                <w:szCs w:val="18"/>
              </w:rPr>
              <w:t xml:space="preserve"> to support their writing</w:t>
            </w:r>
          </w:p>
        </w:tc>
        <w:tc>
          <w:tcPr>
            <w:tcW w:w="1134" w:type="dxa"/>
            <w:vMerge w:val="restart"/>
            <w:vAlign w:val="center"/>
          </w:tcPr>
          <w:p w14:paraId="4F6CB4DF" w14:textId="7073E752" w:rsidR="004C6096" w:rsidRPr="00EB245E" w:rsidRDefault="004A5070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ED/</w:t>
            </w:r>
            <w:r w:rsidR="00143028">
              <w:rPr>
                <w:rFonts w:cstheme="minorHAnsi"/>
                <w:color w:val="FF6600"/>
                <w:sz w:val="18"/>
                <w:szCs w:val="18"/>
              </w:rPr>
              <w:t>TB</w:t>
            </w:r>
          </w:p>
        </w:tc>
        <w:tc>
          <w:tcPr>
            <w:tcW w:w="1276" w:type="dxa"/>
            <w:vMerge w:val="restart"/>
            <w:vAlign w:val="center"/>
          </w:tcPr>
          <w:p w14:paraId="1863AE66" w14:textId="68737539" w:rsidR="004C6096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SB</w:t>
            </w:r>
          </w:p>
        </w:tc>
        <w:tc>
          <w:tcPr>
            <w:tcW w:w="1417" w:type="dxa"/>
            <w:vMerge w:val="restart"/>
            <w:vAlign w:val="center"/>
          </w:tcPr>
          <w:p w14:paraId="43263B4C" w14:textId="2A21CE2D" w:rsidR="004C6096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Book looks/ learning walks</w:t>
            </w:r>
          </w:p>
        </w:tc>
        <w:tc>
          <w:tcPr>
            <w:tcW w:w="1559" w:type="dxa"/>
            <w:vMerge w:val="restart"/>
            <w:vAlign w:val="center"/>
          </w:tcPr>
          <w:p w14:paraId="2CBDADF3" w14:textId="3C022A40" w:rsidR="004C6096" w:rsidRPr="00EB245E" w:rsidRDefault="00143028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Management time photocopying costs </w:t>
            </w:r>
          </w:p>
        </w:tc>
        <w:tc>
          <w:tcPr>
            <w:tcW w:w="6096" w:type="dxa"/>
            <w:vAlign w:val="center"/>
          </w:tcPr>
          <w:p w14:paraId="03C706DE" w14:textId="14462B34" w:rsidR="004C6096" w:rsidRPr="00EB245E" w:rsidRDefault="00143028" w:rsidP="0024112E">
            <w:pPr>
              <w:jc w:val="center"/>
              <w:rPr>
                <w:color w:val="ED7D31" w:themeColor="accent2"/>
                <w:sz w:val="18"/>
                <w:szCs w:val="18"/>
              </w:rPr>
            </w:pPr>
            <w:proofErr w:type="spellStart"/>
            <w:r>
              <w:rPr>
                <w:color w:val="ED7D31" w:themeColor="accent2"/>
                <w:sz w:val="18"/>
                <w:szCs w:val="18"/>
              </w:rPr>
              <w:t>Chn</w:t>
            </w:r>
            <w:proofErr w:type="spellEnd"/>
            <w:r>
              <w:rPr>
                <w:color w:val="ED7D31" w:themeColor="accent2"/>
                <w:sz w:val="18"/>
                <w:szCs w:val="18"/>
              </w:rPr>
              <w:t xml:space="preserve"> will be provided with the means to access support and </w:t>
            </w:r>
            <w:r w:rsidR="00702162">
              <w:rPr>
                <w:color w:val="ED7D31" w:themeColor="accent2"/>
                <w:sz w:val="18"/>
                <w:szCs w:val="18"/>
              </w:rPr>
              <w:t>age-related</w:t>
            </w:r>
            <w:r>
              <w:rPr>
                <w:color w:val="ED7D31" w:themeColor="accent2"/>
                <w:sz w:val="18"/>
                <w:szCs w:val="18"/>
              </w:rPr>
              <w:t xml:space="preserve"> </w:t>
            </w:r>
            <w:r w:rsidR="00FA1884">
              <w:rPr>
                <w:color w:val="ED7D31" w:themeColor="accent2"/>
                <w:sz w:val="18"/>
                <w:szCs w:val="18"/>
              </w:rPr>
              <w:t>expectation-based</w:t>
            </w:r>
            <w:r>
              <w:rPr>
                <w:color w:val="ED7D31" w:themeColor="accent2"/>
                <w:sz w:val="18"/>
                <w:szCs w:val="18"/>
              </w:rPr>
              <w:t xml:space="preserve"> toolkits soi that they may be </w:t>
            </w:r>
            <w:r w:rsidR="008E0137">
              <w:rPr>
                <w:color w:val="ED7D31" w:themeColor="accent2"/>
                <w:sz w:val="18"/>
                <w:szCs w:val="18"/>
              </w:rPr>
              <w:t>stretched</w:t>
            </w:r>
            <w:r>
              <w:rPr>
                <w:color w:val="ED7D31" w:themeColor="accent2"/>
                <w:sz w:val="18"/>
                <w:szCs w:val="18"/>
              </w:rPr>
              <w:t xml:space="preserve"> and understand </w:t>
            </w:r>
            <w:r w:rsidR="008E0137">
              <w:rPr>
                <w:color w:val="ED7D31" w:themeColor="accent2"/>
                <w:sz w:val="18"/>
                <w:szCs w:val="18"/>
              </w:rPr>
              <w:t>expectation</w:t>
            </w:r>
            <w:r>
              <w:rPr>
                <w:color w:val="ED7D31" w:themeColor="accent2"/>
                <w:sz w:val="18"/>
                <w:szCs w:val="18"/>
              </w:rPr>
              <w:t xml:space="preserve"> more accurately and </w:t>
            </w:r>
            <w:r w:rsidR="008E0137">
              <w:rPr>
                <w:color w:val="ED7D31" w:themeColor="accent2"/>
                <w:sz w:val="18"/>
                <w:szCs w:val="18"/>
              </w:rPr>
              <w:t>thus</w:t>
            </w:r>
            <w:r>
              <w:rPr>
                <w:color w:val="ED7D31" w:themeColor="accent2"/>
                <w:sz w:val="18"/>
                <w:szCs w:val="18"/>
              </w:rPr>
              <w:t xml:space="preserve"> </w:t>
            </w:r>
            <w:r w:rsidR="008E0137">
              <w:rPr>
                <w:color w:val="ED7D31" w:themeColor="accent2"/>
                <w:sz w:val="18"/>
                <w:szCs w:val="18"/>
              </w:rPr>
              <w:t>develop the ability to refer to support materials</w:t>
            </w:r>
          </w:p>
        </w:tc>
      </w:tr>
      <w:tr w:rsidR="004C6096" w:rsidRPr="00EB245E" w14:paraId="2EE365B7" w14:textId="77777777" w:rsidTr="00C56066">
        <w:trPr>
          <w:trHeight w:val="330"/>
        </w:trPr>
        <w:tc>
          <w:tcPr>
            <w:tcW w:w="682" w:type="dxa"/>
            <w:vMerge/>
          </w:tcPr>
          <w:p w14:paraId="1267F810" w14:textId="77777777" w:rsidR="004C6096" w:rsidRPr="00EB245E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9A43F60" w14:textId="77777777" w:rsidR="004C6096" w:rsidRPr="00EB245E" w:rsidRDefault="004C609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201D3D" w14:textId="77777777" w:rsidR="004C6096" w:rsidRPr="00EB245E" w:rsidRDefault="004C609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0EA56D" w14:textId="77777777" w:rsidR="004C6096" w:rsidRPr="00EB245E" w:rsidRDefault="004C609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0ECE83E" w14:textId="77777777" w:rsidR="004C6096" w:rsidRPr="00EB245E" w:rsidRDefault="004C609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965B5A" w14:textId="77777777" w:rsidR="004C6096" w:rsidRPr="00EB245E" w:rsidRDefault="004C609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14:paraId="323B7AD1" w14:textId="4ED848DE" w:rsidR="004C6096" w:rsidRPr="00EB245E" w:rsidRDefault="008E0137" w:rsidP="0024112E">
            <w:pPr>
              <w:jc w:val="center"/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Teachers will train </w:t>
            </w:r>
            <w:proofErr w:type="spellStart"/>
            <w:r>
              <w:rPr>
                <w:color w:val="ED7D31" w:themeColor="accent2"/>
                <w:sz w:val="18"/>
                <w:szCs w:val="18"/>
              </w:rPr>
              <w:t>chn</w:t>
            </w:r>
            <w:proofErr w:type="spellEnd"/>
            <w:r>
              <w:rPr>
                <w:color w:val="ED7D31" w:themeColor="accent2"/>
                <w:sz w:val="18"/>
                <w:szCs w:val="18"/>
              </w:rPr>
              <w:t xml:space="preserve"> to use what has been provided so that </w:t>
            </w:r>
            <w:proofErr w:type="spellStart"/>
            <w:r>
              <w:rPr>
                <w:color w:val="ED7D31" w:themeColor="accent2"/>
                <w:sz w:val="18"/>
                <w:szCs w:val="18"/>
              </w:rPr>
              <w:t>chn</w:t>
            </w:r>
            <w:proofErr w:type="spellEnd"/>
            <w:r>
              <w:rPr>
                <w:color w:val="ED7D31" w:themeColor="accent2"/>
                <w:sz w:val="18"/>
                <w:szCs w:val="18"/>
              </w:rPr>
              <w:t xml:space="preserve"> may show the skills required when writing and moderation </w:t>
            </w:r>
            <w:r w:rsidR="00EB4203">
              <w:rPr>
                <w:color w:val="ED7D31" w:themeColor="accent2"/>
                <w:sz w:val="18"/>
                <w:szCs w:val="18"/>
              </w:rPr>
              <w:t>looks closely at their independent skills for correction</w:t>
            </w:r>
          </w:p>
        </w:tc>
      </w:tr>
      <w:tr w:rsidR="00E03DD9" w:rsidRPr="00EB245E" w14:paraId="635492F2" w14:textId="77777777" w:rsidTr="00C56066">
        <w:trPr>
          <w:trHeight w:val="330"/>
        </w:trPr>
        <w:tc>
          <w:tcPr>
            <w:tcW w:w="682" w:type="dxa"/>
          </w:tcPr>
          <w:p w14:paraId="52FF8378" w14:textId="77777777" w:rsidR="00E03DD9" w:rsidRPr="00EB245E" w:rsidRDefault="00E03DD9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14:paraId="2F636E4F" w14:textId="7E082805" w:rsidR="00E03DD9" w:rsidRPr="00EB245E" w:rsidRDefault="00E03DD9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To moderate all year group across school</w:t>
            </w:r>
          </w:p>
        </w:tc>
        <w:tc>
          <w:tcPr>
            <w:tcW w:w="1134" w:type="dxa"/>
            <w:vAlign w:val="center"/>
          </w:tcPr>
          <w:p w14:paraId="148B8CC4" w14:textId="039CC91C" w:rsidR="00E03DD9" w:rsidRPr="00EB245E" w:rsidRDefault="00E03DD9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ED/SB</w:t>
            </w:r>
          </w:p>
        </w:tc>
        <w:tc>
          <w:tcPr>
            <w:tcW w:w="1276" w:type="dxa"/>
            <w:vAlign w:val="center"/>
          </w:tcPr>
          <w:p w14:paraId="48A3FA4B" w14:textId="4967F190" w:rsidR="00E03DD9" w:rsidRPr="00EB245E" w:rsidRDefault="00E03DD9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SB</w:t>
            </w:r>
          </w:p>
        </w:tc>
        <w:tc>
          <w:tcPr>
            <w:tcW w:w="1417" w:type="dxa"/>
            <w:vAlign w:val="center"/>
          </w:tcPr>
          <w:p w14:paraId="55C5E6D6" w14:textId="63AB4817" w:rsidR="00E03DD9" w:rsidRPr="00EB245E" w:rsidRDefault="00C5606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Data analysis</w:t>
            </w:r>
          </w:p>
        </w:tc>
        <w:tc>
          <w:tcPr>
            <w:tcW w:w="1559" w:type="dxa"/>
            <w:vAlign w:val="center"/>
          </w:tcPr>
          <w:p w14:paraId="2435868C" w14:textId="3F0BE8F2" w:rsidR="00E03DD9" w:rsidRPr="00EB245E" w:rsidRDefault="00C56066" w:rsidP="0024112E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Management time/ staff time/moderation costs</w:t>
            </w:r>
          </w:p>
        </w:tc>
        <w:tc>
          <w:tcPr>
            <w:tcW w:w="6096" w:type="dxa"/>
            <w:vAlign w:val="center"/>
          </w:tcPr>
          <w:p w14:paraId="3477646E" w14:textId="0878E2A7" w:rsidR="00E03DD9" w:rsidRDefault="00C56066" w:rsidP="0024112E">
            <w:pPr>
              <w:jc w:val="center"/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Staff will have a stronger understanding of what is expected of their </w:t>
            </w:r>
            <w:proofErr w:type="gramStart"/>
            <w:r>
              <w:rPr>
                <w:color w:val="ED7D31" w:themeColor="accent2"/>
                <w:sz w:val="18"/>
                <w:szCs w:val="18"/>
              </w:rPr>
              <w:t>age related</w:t>
            </w:r>
            <w:proofErr w:type="gramEnd"/>
            <w:r>
              <w:rPr>
                <w:color w:val="ED7D31" w:themeColor="accent2"/>
                <w:sz w:val="18"/>
                <w:szCs w:val="18"/>
              </w:rPr>
              <w:t xml:space="preserve"> expectation and the more accurate assessment will </w:t>
            </w:r>
            <w:r w:rsidR="00FA1884">
              <w:rPr>
                <w:color w:val="ED7D31" w:themeColor="accent2"/>
                <w:sz w:val="18"/>
                <w:szCs w:val="18"/>
              </w:rPr>
              <w:t xml:space="preserve">highlight where weaknesses lie in teaching and learning so they may be identified and remedied at speed. </w:t>
            </w:r>
          </w:p>
        </w:tc>
      </w:tr>
    </w:tbl>
    <w:p w14:paraId="62199465" w14:textId="77777777" w:rsidR="0041757A" w:rsidRPr="00EB245E" w:rsidRDefault="0041757A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41757A" w:rsidRPr="002A75C5" w14:paraId="284356E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09E38E" w14:textId="597245D1" w:rsidR="0041757A" w:rsidRPr="002A75C5" w:rsidRDefault="00EB4203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Extra</w:t>
            </w:r>
            <w:r w:rsidR="00C0460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curricular support for writing</w:t>
            </w:r>
          </w:p>
        </w:tc>
      </w:tr>
      <w:tr w:rsidR="0041757A" w:rsidRPr="002A75C5" w14:paraId="6F5F694D" w14:textId="77777777" w:rsidTr="003E7E80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7EB140C8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2F06B1F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32F1F5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43724D0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539ED6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FF136A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59C8976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EB0E41" w:rsidRPr="002A75C5" w14:paraId="5851004A" w14:textId="77777777" w:rsidTr="00DA6D73">
        <w:trPr>
          <w:trHeight w:val="871"/>
        </w:trPr>
        <w:tc>
          <w:tcPr>
            <w:tcW w:w="682" w:type="dxa"/>
            <w:vMerge w:val="restart"/>
            <w:shd w:val="clear" w:color="auto" w:fill="FFFFFF" w:themeFill="background1"/>
          </w:tcPr>
          <w:p w14:paraId="0DA123B1" w14:textId="77777777" w:rsidR="00EB0E41" w:rsidRPr="002A75C5" w:rsidRDefault="00EB0E41" w:rsidP="003E7E80">
            <w:pPr>
              <w:rPr>
                <w:rFonts w:cstheme="minorHAnsi"/>
                <w:sz w:val="18"/>
                <w:szCs w:val="18"/>
              </w:rPr>
            </w:pPr>
          </w:p>
          <w:p w14:paraId="6C964F70" w14:textId="77777777" w:rsidR="00EB0E41" w:rsidRPr="002A75C5" w:rsidRDefault="00EB0E41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14:paraId="26F8E2CD" w14:textId="70879EE1" w:rsidR="00EB0E41" w:rsidRPr="00A40DC5" w:rsidRDefault="0024112E" w:rsidP="003E7E80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Library use</w:t>
            </w:r>
            <w:r w:rsidR="00E40320">
              <w:rPr>
                <w:rFonts w:cstheme="minorHAnsi"/>
                <w:color w:val="ED7D31" w:themeColor="accent2"/>
                <w:sz w:val="18"/>
                <w:szCs w:val="18"/>
              </w:rPr>
              <w:t xml:space="preserve"> – timetable for all classes</w:t>
            </w:r>
          </w:p>
        </w:tc>
        <w:tc>
          <w:tcPr>
            <w:tcW w:w="1134" w:type="dxa"/>
            <w:vAlign w:val="center"/>
          </w:tcPr>
          <w:p w14:paraId="159AB6FA" w14:textId="222F1649" w:rsidR="00EB0E41" w:rsidRPr="001E3A8D" w:rsidRDefault="00EB0E41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ED</w:t>
            </w:r>
          </w:p>
        </w:tc>
        <w:tc>
          <w:tcPr>
            <w:tcW w:w="1276" w:type="dxa"/>
            <w:vAlign w:val="center"/>
          </w:tcPr>
          <w:p w14:paraId="5AB4BA5D" w14:textId="6018DA48" w:rsidR="00EB0E41" w:rsidRPr="001E3A8D" w:rsidRDefault="00EB0E41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SB</w:t>
            </w:r>
          </w:p>
        </w:tc>
        <w:tc>
          <w:tcPr>
            <w:tcW w:w="1417" w:type="dxa"/>
            <w:vAlign w:val="center"/>
          </w:tcPr>
          <w:p w14:paraId="03DD53C4" w14:textId="031DD5C0" w:rsidR="00EB0E41" w:rsidRPr="001E3A8D" w:rsidRDefault="00E40320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Timetabled lesson and whether used</w:t>
            </w:r>
          </w:p>
        </w:tc>
        <w:tc>
          <w:tcPr>
            <w:tcW w:w="1418" w:type="dxa"/>
            <w:vAlign w:val="center"/>
          </w:tcPr>
          <w:p w14:paraId="0A4CF57F" w14:textId="1C56BDD5" w:rsidR="00EB0E41" w:rsidRPr="001E3A8D" w:rsidRDefault="00E40320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Management / teacher / learning time</w:t>
            </w:r>
          </w:p>
        </w:tc>
        <w:tc>
          <w:tcPr>
            <w:tcW w:w="6237" w:type="dxa"/>
            <w:vAlign w:val="center"/>
          </w:tcPr>
          <w:p w14:paraId="09BC4FC8" w14:textId="766DA0DC" w:rsidR="00EB0E41" w:rsidRPr="001E3A8D" w:rsidRDefault="0024112E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Teachers will utilise the library space to </w:t>
            </w:r>
            <w:r w:rsidR="005505C9">
              <w:rPr>
                <w:rFonts w:cstheme="minorHAnsi"/>
                <w:color w:val="FF6600"/>
                <w:sz w:val="18"/>
                <w:szCs w:val="18"/>
              </w:rPr>
              <w:t xml:space="preserve">embed the love of stories and assist </w:t>
            </w:r>
            <w:proofErr w:type="spellStart"/>
            <w:r w:rsidR="005505C9">
              <w:rPr>
                <w:rFonts w:cstheme="minorHAnsi"/>
                <w:color w:val="FF6600"/>
                <w:sz w:val="18"/>
                <w:szCs w:val="18"/>
              </w:rPr>
              <w:t>chn</w:t>
            </w:r>
            <w:proofErr w:type="spellEnd"/>
            <w:r w:rsidR="005505C9">
              <w:rPr>
                <w:rFonts w:cstheme="minorHAnsi"/>
                <w:color w:val="FF6600"/>
                <w:sz w:val="18"/>
                <w:szCs w:val="18"/>
              </w:rPr>
              <w:t xml:space="preserve"> in choosing high quality texts for challenge and to inspire writing</w:t>
            </w:r>
          </w:p>
        </w:tc>
      </w:tr>
      <w:tr w:rsidR="00EB0E41" w:rsidRPr="002A75C5" w14:paraId="5B224DF7" w14:textId="77777777" w:rsidTr="002D5A0F">
        <w:trPr>
          <w:trHeight w:val="895"/>
        </w:trPr>
        <w:tc>
          <w:tcPr>
            <w:tcW w:w="682" w:type="dxa"/>
            <w:vMerge/>
          </w:tcPr>
          <w:p w14:paraId="308D56CC" w14:textId="77777777" w:rsidR="00EB0E41" w:rsidRPr="002A75C5" w:rsidRDefault="00EB0E41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Align w:val="center"/>
          </w:tcPr>
          <w:p w14:paraId="20970416" w14:textId="6C458940" w:rsidR="00EB0E41" w:rsidRPr="00E81DC9" w:rsidRDefault="00E40320" w:rsidP="003E7E80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 xml:space="preserve">Establish reading ambassadors so that </w:t>
            </w:r>
            <w:proofErr w:type="spellStart"/>
            <w:r>
              <w:rPr>
                <w:rFonts w:cstheme="minorHAnsi"/>
                <w:color w:val="00B050"/>
                <w:sz w:val="18"/>
                <w:szCs w:val="18"/>
              </w:rPr>
              <w:t>chn</w:t>
            </w:r>
            <w:proofErr w:type="spellEnd"/>
            <w:r>
              <w:rPr>
                <w:rFonts w:cstheme="minorHAnsi"/>
                <w:color w:val="00B050"/>
                <w:sz w:val="18"/>
                <w:szCs w:val="18"/>
              </w:rPr>
              <w:t xml:space="preserve"> can become responsible for our library</w:t>
            </w:r>
          </w:p>
        </w:tc>
        <w:tc>
          <w:tcPr>
            <w:tcW w:w="1134" w:type="dxa"/>
            <w:vAlign w:val="center"/>
          </w:tcPr>
          <w:p w14:paraId="6A87F556" w14:textId="68B3FF9B" w:rsidR="00EB0E41" w:rsidRPr="00E81DC9" w:rsidRDefault="00E40320" w:rsidP="008D444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ED</w:t>
            </w:r>
          </w:p>
        </w:tc>
        <w:tc>
          <w:tcPr>
            <w:tcW w:w="1276" w:type="dxa"/>
            <w:vAlign w:val="center"/>
          </w:tcPr>
          <w:p w14:paraId="3DA3A724" w14:textId="0794348A" w:rsidR="00EB0E41" w:rsidRPr="00E81DC9" w:rsidRDefault="00E40320" w:rsidP="008D444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SB</w:t>
            </w:r>
          </w:p>
        </w:tc>
        <w:tc>
          <w:tcPr>
            <w:tcW w:w="1417" w:type="dxa"/>
            <w:vAlign w:val="center"/>
          </w:tcPr>
          <w:p w14:paraId="276604BE" w14:textId="14CD32AB" w:rsidR="00EB0E41" w:rsidRPr="00E81DC9" w:rsidRDefault="00C03EFA" w:rsidP="003E7E80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Minutes from meetings with reading ambassadors</w:t>
            </w:r>
          </w:p>
        </w:tc>
        <w:tc>
          <w:tcPr>
            <w:tcW w:w="1418" w:type="dxa"/>
            <w:vAlign w:val="center"/>
          </w:tcPr>
          <w:p w14:paraId="43404284" w14:textId="5BD42183" w:rsidR="00EB0E41" w:rsidRPr="000B2912" w:rsidRDefault="00C03EFA" w:rsidP="003E7E80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 xml:space="preserve">ED directed time </w:t>
            </w:r>
          </w:p>
        </w:tc>
        <w:tc>
          <w:tcPr>
            <w:tcW w:w="6237" w:type="dxa"/>
            <w:vAlign w:val="center"/>
          </w:tcPr>
          <w:p w14:paraId="5D02CC75" w14:textId="309D7BF0" w:rsidR="00EB0E41" w:rsidRPr="00E81DC9" w:rsidRDefault="00C03EFA" w:rsidP="003E7E80">
            <w:pPr>
              <w:rPr>
                <w:color w:val="00B050"/>
                <w:sz w:val="18"/>
                <w:szCs w:val="18"/>
              </w:rPr>
            </w:pPr>
            <w:proofErr w:type="spellStart"/>
            <w:r>
              <w:rPr>
                <w:color w:val="00B050"/>
                <w:sz w:val="18"/>
                <w:szCs w:val="18"/>
              </w:rPr>
              <w:t>Chn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will have responsibilit</w:t>
            </w:r>
            <w:r w:rsidR="00C04085">
              <w:rPr>
                <w:color w:val="00B050"/>
                <w:sz w:val="18"/>
                <w:szCs w:val="18"/>
              </w:rPr>
              <w:t>y for their library. They will establish a monitoring system for the borrowing of books and ensure an atmosphere of respect is maintained when using the library.</w:t>
            </w:r>
          </w:p>
        </w:tc>
      </w:tr>
    </w:tbl>
    <w:p w14:paraId="779F8E76" w14:textId="77777777" w:rsidR="0041757A" w:rsidRDefault="0041757A"/>
    <w:sectPr w:rsidR="0041757A" w:rsidSect="001E3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F55"/>
    <w:multiLevelType w:val="multilevel"/>
    <w:tmpl w:val="3C865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4ED7597A"/>
    <w:multiLevelType w:val="hybridMultilevel"/>
    <w:tmpl w:val="95881386"/>
    <w:lvl w:ilvl="0" w:tplc="F15287A6">
      <w:start w:val="1"/>
      <w:numFmt w:val="decimal"/>
      <w:lvlText w:val="%1.1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DA4D91"/>
    <w:multiLevelType w:val="hybridMultilevel"/>
    <w:tmpl w:val="100A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8D"/>
    <w:rsid w:val="000040EE"/>
    <w:rsid w:val="00007FEB"/>
    <w:rsid w:val="00014CA6"/>
    <w:rsid w:val="00060649"/>
    <w:rsid w:val="00062450"/>
    <w:rsid w:val="00063727"/>
    <w:rsid w:val="00070A81"/>
    <w:rsid w:val="00071A67"/>
    <w:rsid w:val="0008450A"/>
    <w:rsid w:val="000953CD"/>
    <w:rsid w:val="00097E45"/>
    <w:rsid w:val="000A589C"/>
    <w:rsid w:val="000B2912"/>
    <w:rsid w:val="000E7527"/>
    <w:rsid w:val="000F1DEA"/>
    <w:rsid w:val="001017D8"/>
    <w:rsid w:val="00114183"/>
    <w:rsid w:val="00124ED9"/>
    <w:rsid w:val="00126875"/>
    <w:rsid w:val="00127C2A"/>
    <w:rsid w:val="00143028"/>
    <w:rsid w:val="00155D3F"/>
    <w:rsid w:val="001630C7"/>
    <w:rsid w:val="001639B2"/>
    <w:rsid w:val="001724AA"/>
    <w:rsid w:val="00172964"/>
    <w:rsid w:val="00177766"/>
    <w:rsid w:val="00187ACC"/>
    <w:rsid w:val="001949D9"/>
    <w:rsid w:val="001B3C7A"/>
    <w:rsid w:val="001C2206"/>
    <w:rsid w:val="001D632E"/>
    <w:rsid w:val="001E324E"/>
    <w:rsid w:val="001E3A8D"/>
    <w:rsid w:val="001E6804"/>
    <w:rsid w:val="001F752C"/>
    <w:rsid w:val="00213353"/>
    <w:rsid w:val="00234CFA"/>
    <w:rsid w:val="0024112E"/>
    <w:rsid w:val="00251A1B"/>
    <w:rsid w:val="002523CA"/>
    <w:rsid w:val="002738F4"/>
    <w:rsid w:val="002761EF"/>
    <w:rsid w:val="00297D3A"/>
    <w:rsid w:val="002B4B48"/>
    <w:rsid w:val="002C1F6B"/>
    <w:rsid w:val="002E03AD"/>
    <w:rsid w:val="002F00CC"/>
    <w:rsid w:val="002F616D"/>
    <w:rsid w:val="003071D4"/>
    <w:rsid w:val="0031421A"/>
    <w:rsid w:val="0032166D"/>
    <w:rsid w:val="00323630"/>
    <w:rsid w:val="003424CD"/>
    <w:rsid w:val="0035088B"/>
    <w:rsid w:val="003559F3"/>
    <w:rsid w:val="00364BAD"/>
    <w:rsid w:val="00386277"/>
    <w:rsid w:val="003A03FA"/>
    <w:rsid w:val="003A781A"/>
    <w:rsid w:val="003C5475"/>
    <w:rsid w:val="003F7DB3"/>
    <w:rsid w:val="00402050"/>
    <w:rsid w:val="00406F64"/>
    <w:rsid w:val="004165E2"/>
    <w:rsid w:val="0041757A"/>
    <w:rsid w:val="004261E3"/>
    <w:rsid w:val="004368C0"/>
    <w:rsid w:val="00437E85"/>
    <w:rsid w:val="004546AD"/>
    <w:rsid w:val="004560EC"/>
    <w:rsid w:val="00461207"/>
    <w:rsid w:val="00462E71"/>
    <w:rsid w:val="00471A3A"/>
    <w:rsid w:val="00472A01"/>
    <w:rsid w:val="00475C8D"/>
    <w:rsid w:val="0047661D"/>
    <w:rsid w:val="00491154"/>
    <w:rsid w:val="004A2C74"/>
    <w:rsid w:val="004A5070"/>
    <w:rsid w:val="004B36BA"/>
    <w:rsid w:val="004B5E2E"/>
    <w:rsid w:val="004C6096"/>
    <w:rsid w:val="004D0BBE"/>
    <w:rsid w:val="004D142C"/>
    <w:rsid w:val="004D6CE1"/>
    <w:rsid w:val="004E0AC0"/>
    <w:rsid w:val="004E1917"/>
    <w:rsid w:val="004E3521"/>
    <w:rsid w:val="004F34B0"/>
    <w:rsid w:val="00521016"/>
    <w:rsid w:val="00526349"/>
    <w:rsid w:val="0053038A"/>
    <w:rsid w:val="00530F10"/>
    <w:rsid w:val="00531307"/>
    <w:rsid w:val="00537827"/>
    <w:rsid w:val="00540C08"/>
    <w:rsid w:val="005443F0"/>
    <w:rsid w:val="005505C9"/>
    <w:rsid w:val="00551CB1"/>
    <w:rsid w:val="005656A5"/>
    <w:rsid w:val="00574404"/>
    <w:rsid w:val="0058435A"/>
    <w:rsid w:val="005A0D6E"/>
    <w:rsid w:val="005B5C76"/>
    <w:rsid w:val="005C15CA"/>
    <w:rsid w:val="005D0D70"/>
    <w:rsid w:val="005E50EE"/>
    <w:rsid w:val="005F2C0C"/>
    <w:rsid w:val="005F2F7E"/>
    <w:rsid w:val="005F3327"/>
    <w:rsid w:val="00603AFF"/>
    <w:rsid w:val="00622506"/>
    <w:rsid w:val="00623DEF"/>
    <w:rsid w:val="0062469F"/>
    <w:rsid w:val="006344CC"/>
    <w:rsid w:val="0063781B"/>
    <w:rsid w:val="00654BFB"/>
    <w:rsid w:val="00662453"/>
    <w:rsid w:val="006667B1"/>
    <w:rsid w:val="00677333"/>
    <w:rsid w:val="00680479"/>
    <w:rsid w:val="006A1967"/>
    <w:rsid w:val="006B0678"/>
    <w:rsid w:val="006B48BC"/>
    <w:rsid w:val="006D2962"/>
    <w:rsid w:val="006D4054"/>
    <w:rsid w:val="006E55FD"/>
    <w:rsid w:val="006E6AF1"/>
    <w:rsid w:val="00702162"/>
    <w:rsid w:val="00717A96"/>
    <w:rsid w:val="007312AE"/>
    <w:rsid w:val="00733288"/>
    <w:rsid w:val="00735349"/>
    <w:rsid w:val="007427C7"/>
    <w:rsid w:val="007453CB"/>
    <w:rsid w:val="0075180F"/>
    <w:rsid w:val="007532DD"/>
    <w:rsid w:val="007627A2"/>
    <w:rsid w:val="0078306A"/>
    <w:rsid w:val="00783814"/>
    <w:rsid w:val="007929E3"/>
    <w:rsid w:val="007A0D35"/>
    <w:rsid w:val="007B2C05"/>
    <w:rsid w:val="007B4143"/>
    <w:rsid w:val="007B56AC"/>
    <w:rsid w:val="007C7AFE"/>
    <w:rsid w:val="007D59AF"/>
    <w:rsid w:val="007E3F8C"/>
    <w:rsid w:val="007E66F4"/>
    <w:rsid w:val="007F0C00"/>
    <w:rsid w:val="00816FB3"/>
    <w:rsid w:val="008352C0"/>
    <w:rsid w:val="00837F25"/>
    <w:rsid w:val="00837F7B"/>
    <w:rsid w:val="008413FF"/>
    <w:rsid w:val="00852237"/>
    <w:rsid w:val="00872904"/>
    <w:rsid w:val="00872BF6"/>
    <w:rsid w:val="00884664"/>
    <w:rsid w:val="008848A7"/>
    <w:rsid w:val="008A1E40"/>
    <w:rsid w:val="008A4736"/>
    <w:rsid w:val="008B3A88"/>
    <w:rsid w:val="008B73C1"/>
    <w:rsid w:val="008D444B"/>
    <w:rsid w:val="008E0137"/>
    <w:rsid w:val="00901266"/>
    <w:rsid w:val="00902B8A"/>
    <w:rsid w:val="00904D05"/>
    <w:rsid w:val="00905A03"/>
    <w:rsid w:val="00911A1E"/>
    <w:rsid w:val="009228D8"/>
    <w:rsid w:val="00952301"/>
    <w:rsid w:val="00953B82"/>
    <w:rsid w:val="00955F87"/>
    <w:rsid w:val="009721CD"/>
    <w:rsid w:val="0099304B"/>
    <w:rsid w:val="009A0DFA"/>
    <w:rsid w:val="009A53D3"/>
    <w:rsid w:val="009A6109"/>
    <w:rsid w:val="009B3B1B"/>
    <w:rsid w:val="009D1471"/>
    <w:rsid w:val="009D5288"/>
    <w:rsid w:val="009E448D"/>
    <w:rsid w:val="00A063A3"/>
    <w:rsid w:val="00A13B90"/>
    <w:rsid w:val="00A14E5B"/>
    <w:rsid w:val="00A17353"/>
    <w:rsid w:val="00A217BA"/>
    <w:rsid w:val="00A30757"/>
    <w:rsid w:val="00A336C6"/>
    <w:rsid w:val="00A37FD4"/>
    <w:rsid w:val="00A40DC5"/>
    <w:rsid w:val="00A416F6"/>
    <w:rsid w:val="00A430B0"/>
    <w:rsid w:val="00A5210A"/>
    <w:rsid w:val="00A55427"/>
    <w:rsid w:val="00A64A32"/>
    <w:rsid w:val="00A65637"/>
    <w:rsid w:val="00A67042"/>
    <w:rsid w:val="00A742BF"/>
    <w:rsid w:val="00AB077F"/>
    <w:rsid w:val="00AB60C7"/>
    <w:rsid w:val="00AC2209"/>
    <w:rsid w:val="00AC7A3A"/>
    <w:rsid w:val="00AD55BE"/>
    <w:rsid w:val="00B01A49"/>
    <w:rsid w:val="00B1188F"/>
    <w:rsid w:val="00B30B65"/>
    <w:rsid w:val="00B3246B"/>
    <w:rsid w:val="00B36D93"/>
    <w:rsid w:val="00B4121E"/>
    <w:rsid w:val="00B41BC2"/>
    <w:rsid w:val="00B41E41"/>
    <w:rsid w:val="00B560DB"/>
    <w:rsid w:val="00B6166D"/>
    <w:rsid w:val="00B61E7F"/>
    <w:rsid w:val="00B62811"/>
    <w:rsid w:val="00B77EDD"/>
    <w:rsid w:val="00B849D0"/>
    <w:rsid w:val="00B93FE3"/>
    <w:rsid w:val="00B954F7"/>
    <w:rsid w:val="00B95E3F"/>
    <w:rsid w:val="00B96CED"/>
    <w:rsid w:val="00BB6C83"/>
    <w:rsid w:val="00BC1806"/>
    <w:rsid w:val="00BD33D3"/>
    <w:rsid w:val="00BD4429"/>
    <w:rsid w:val="00BD48DB"/>
    <w:rsid w:val="00BE2846"/>
    <w:rsid w:val="00BE4521"/>
    <w:rsid w:val="00BE7021"/>
    <w:rsid w:val="00BF5295"/>
    <w:rsid w:val="00C0366C"/>
    <w:rsid w:val="00C03EFA"/>
    <w:rsid w:val="00C04085"/>
    <w:rsid w:val="00C04600"/>
    <w:rsid w:val="00C17DF8"/>
    <w:rsid w:val="00C38707"/>
    <w:rsid w:val="00C41261"/>
    <w:rsid w:val="00C4328E"/>
    <w:rsid w:val="00C56066"/>
    <w:rsid w:val="00C63545"/>
    <w:rsid w:val="00C70973"/>
    <w:rsid w:val="00C76FD2"/>
    <w:rsid w:val="00C82F59"/>
    <w:rsid w:val="00CA09CF"/>
    <w:rsid w:val="00CA386C"/>
    <w:rsid w:val="00CB41D5"/>
    <w:rsid w:val="00CB7844"/>
    <w:rsid w:val="00CD6F05"/>
    <w:rsid w:val="00CE7B02"/>
    <w:rsid w:val="00CF2CCB"/>
    <w:rsid w:val="00D0363F"/>
    <w:rsid w:val="00D12CAD"/>
    <w:rsid w:val="00D4017B"/>
    <w:rsid w:val="00D43BA3"/>
    <w:rsid w:val="00D6579B"/>
    <w:rsid w:val="00D65EED"/>
    <w:rsid w:val="00D82159"/>
    <w:rsid w:val="00D853C5"/>
    <w:rsid w:val="00D857E3"/>
    <w:rsid w:val="00D90D5C"/>
    <w:rsid w:val="00DA1762"/>
    <w:rsid w:val="00DA784D"/>
    <w:rsid w:val="00DC47B6"/>
    <w:rsid w:val="00DC5D9E"/>
    <w:rsid w:val="00DD4C45"/>
    <w:rsid w:val="00DE3D2B"/>
    <w:rsid w:val="00DE6B57"/>
    <w:rsid w:val="00DF796C"/>
    <w:rsid w:val="00E01B09"/>
    <w:rsid w:val="00E03DD9"/>
    <w:rsid w:val="00E1395C"/>
    <w:rsid w:val="00E30224"/>
    <w:rsid w:val="00E33D99"/>
    <w:rsid w:val="00E357DA"/>
    <w:rsid w:val="00E40320"/>
    <w:rsid w:val="00E419E2"/>
    <w:rsid w:val="00E53B43"/>
    <w:rsid w:val="00E554DF"/>
    <w:rsid w:val="00E63CE0"/>
    <w:rsid w:val="00E66CA7"/>
    <w:rsid w:val="00E74447"/>
    <w:rsid w:val="00E81DC9"/>
    <w:rsid w:val="00E8496B"/>
    <w:rsid w:val="00E87405"/>
    <w:rsid w:val="00E90A7F"/>
    <w:rsid w:val="00E911C9"/>
    <w:rsid w:val="00E93E80"/>
    <w:rsid w:val="00E9479A"/>
    <w:rsid w:val="00EA3FAF"/>
    <w:rsid w:val="00EA58A1"/>
    <w:rsid w:val="00EB0E41"/>
    <w:rsid w:val="00EB245E"/>
    <w:rsid w:val="00EB4203"/>
    <w:rsid w:val="00EB4344"/>
    <w:rsid w:val="00EC1DA5"/>
    <w:rsid w:val="00ED0BF2"/>
    <w:rsid w:val="00EE5150"/>
    <w:rsid w:val="00EF150E"/>
    <w:rsid w:val="00EF3CCC"/>
    <w:rsid w:val="00EF5F79"/>
    <w:rsid w:val="00F024D3"/>
    <w:rsid w:val="00F11ACA"/>
    <w:rsid w:val="00F11CBD"/>
    <w:rsid w:val="00F140F2"/>
    <w:rsid w:val="00F208B4"/>
    <w:rsid w:val="00F262C8"/>
    <w:rsid w:val="00F26D68"/>
    <w:rsid w:val="00F5093A"/>
    <w:rsid w:val="00F5688F"/>
    <w:rsid w:val="00F57A04"/>
    <w:rsid w:val="00F75005"/>
    <w:rsid w:val="00F86844"/>
    <w:rsid w:val="00FA0337"/>
    <w:rsid w:val="00FA1884"/>
    <w:rsid w:val="00FA5AB7"/>
    <w:rsid w:val="00FC2B59"/>
    <w:rsid w:val="00FE0982"/>
    <w:rsid w:val="00FE3F0B"/>
    <w:rsid w:val="00FE5E67"/>
    <w:rsid w:val="00FF3B89"/>
    <w:rsid w:val="0596F82A"/>
    <w:rsid w:val="07AAF8CF"/>
    <w:rsid w:val="09A8F619"/>
    <w:rsid w:val="0D4348B3"/>
    <w:rsid w:val="114BF6F2"/>
    <w:rsid w:val="1FBFEC57"/>
    <w:rsid w:val="21A256BE"/>
    <w:rsid w:val="25A25099"/>
    <w:rsid w:val="28BEDA20"/>
    <w:rsid w:val="37F53CEF"/>
    <w:rsid w:val="398E49DD"/>
    <w:rsid w:val="3B76346A"/>
    <w:rsid w:val="3C374AD5"/>
    <w:rsid w:val="3CDDF562"/>
    <w:rsid w:val="3D1204CB"/>
    <w:rsid w:val="4016B04C"/>
    <w:rsid w:val="415B8810"/>
    <w:rsid w:val="4399A863"/>
    <w:rsid w:val="44076CDB"/>
    <w:rsid w:val="4563BD7B"/>
    <w:rsid w:val="45D4425C"/>
    <w:rsid w:val="463B3BDC"/>
    <w:rsid w:val="4EF648B5"/>
    <w:rsid w:val="559F2B65"/>
    <w:rsid w:val="57907D14"/>
    <w:rsid w:val="5A9CF908"/>
    <w:rsid w:val="66FD6B67"/>
    <w:rsid w:val="7BF015E3"/>
    <w:rsid w:val="7D8BE644"/>
    <w:rsid w:val="7E4B9F7B"/>
    <w:rsid w:val="7F27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4262"/>
  <w15:chartTrackingRefBased/>
  <w15:docId w15:val="{B97E5EA1-7D22-4AD3-8A1F-91ECA40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EA3877A721542B6065D553F7F7655" ma:contentTypeVersion="16" ma:contentTypeDescription="Create a new document." ma:contentTypeScope="" ma:versionID="569e3b429bc083c502693858768915ba">
  <xsd:schema xmlns:xsd="http://www.w3.org/2001/XMLSchema" xmlns:xs="http://www.w3.org/2001/XMLSchema" xmlns:p="http://schemas.microsoft.com/office/2006/metadata/properties" xmlns:ns2="e8a0d1f0-54a5-4e5f-879a-a26ec8074bce" xmlns:ns3="2133390d-c771-4971-ac51-0a3fa1022fb9" targetNamespace="http://schemas.microsoft.com/office/2006/metadata/properties" ma:root="true" ma:fieldsID="a636208ac266146e99e8afcd02c5cc5c" ns2:_="" ns3:_="">
    <xsd:import namespace="e8a0d1f0-54a5-4e5f-879a-a26ec8074bce"/>
    <xsd:import namespace="2133390d-c771-4971-ac51-0a3fa1022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d1f0-54a5-4e5f-879a-a26ec8074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390d-c771-4971-ac51-0a3fa1022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6cc4b-9f58-4649-b7d3-6c54a2d61e3c}" ma:internalName="TaxCatchAll" ma:showField="CatchAllData" ma:web="2133390d-c771-4971-ac51-0a3fa1022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390d-c771-4971-ac51-0a3fa1022fb9" xsi:nil="true"/>
    <lcf76f155ced4ddcb4097134ff3c332f xmlns="e8a0d1f0-54a5-4e5f-879a-a26ec8074b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8555BE-507A-4794-B081-3CA00EE2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d1f0-54a5-4e5f-879a-a26ec8074bce"/>
    <ds:schemaRef ds:uri="2133390d-c771-4971-ac51-0a3fa102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65A11-7208-45A5-96F8-B38FA9D26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9C17C-0057-40D2-B869-FCAE206AADA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133390d-c771-4971-ac51-0a3fa1022fb9"/>
    <ds:schemaRef ds:uri="e8a0d1f0-54a5-4e5f-879a-a26ec8074bc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Bentley</dc:creator>
  <cp:keywords/>
  <dc:description/>
  <cp:lastModifiedBy>Mrs E Dawson</cp:lastModifiedBy>
  <cp:revision>2</cp:revision>
  <dcterms:created xsi:type="dcterms:W3CDTF">2023-02-05T19:19:00Z</dcterms:created>
  <dcterms:modified xsi:type="dcterms:W3CDTF">2023-02-05T19:19:00Z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0x010100B21EA3877A721542B6065D553F7F7655</vt:lpwstr>
  </property>
</Properties>
</file>