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31" w:type="dxa"/>
        <w:tblInd w:w="-5" w:type="dxa"/>
        <w:tblLook w:val="04A0" w:firstRow="1" w:lastRow="0" w:firstColumn="1" w:lastColumn="0" w:noHBand="0" w:noVBand="1"/>
      </w:tblPr>
      <w:tblGrid>
        <w:gridCol w:w="1021"/>
        <w:gridCol w:w="10780"/>
        <w:gridCol w:w="3830"/>
      </w:tblGrid>
      <w:tr w:rsidR="001E3A8D" w:rsidRPr="002A75C5" w14:paraId="278C2338" w14:textId="77777777" w:rsidTr="03CAF6BD">
        <w:trPr>
          <w:trHeight w:val="483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49841BE" w14:textId="636CD86E" w:rsidR="001E3A8D" w:rsidRPr="002A75C5" w:rsidRDefault="001E3A8D" w:rsidP="0D4348B3">
            <w:pPr>
              <w:jc w:val="center"/>
              <w:rPr>
                <w:b/>
                <w:bCs/>
                <w:sz w:val="20"/>
                <w:szCs w:val="20"/>
              </w:rPr>
            </w:pPr>
            <w:r w:rsidRPr="0D4348B3">
              <w:rPr>
                <w:b/>
                <w:bCs/>
                <w:sz w:val="20"/>
                <w:szCs w:val="20"/>
              </w:rPr>
              <w:t>Key Priority</w:t>
            </w:r>
          </w:p>
        </w:tc>
        <w:tc>
          <w:tcPr>
            <w:tcW w:w="10780" w:type="dxa"/>
            <w:shd w:val="clear" w:color="auto" w:fill="D9D9D9" w:themeFill="background1" w:themeFillShade="D9"/>
            <w:vAlign w:val="center"/>
          </w:tcPr>
          <w:p w14:paraId="22703BB4" w14:textId="72CF301B" w:rsidR="001E3A8D" w:rsidRPr="002A75C5" w:rsidRDefault="001E3A8D" w:rsidP="0D4348B3">
            <w:pPr>
              <w:rPr>
                <w:b/>
                <w:bCs/>
                <w:sz w:val="20"/>
                <w:szCs w:val="20"/>
              </w:rPr>
            </w:pPr>
            <w:r w:rsidRPr="03CAF6BD">
              <w:rPr>
                <w:b/>
                <w:bCs/>
                <w:sz w:val="20"/>
                <w:szCs w:val="20"/>
              </w:rPr>
              <w:t xml:space="preserve">To </w:t>
            </w:r>
            <w:r w:rsidR="00F11CBD" w:rsidRPr="03CAF6BD">
              <w:rPr>
                <w:b/>
                <w:bCs/>
                <w:sz w:val="20"/>
                <w:szCs w:val="20"/>
              </w:rPr>
              <w:t>embed</w:t>
            </w:r>
            <w:r w:rsidRPr="03CAF6BD">
              <w:rPr>
                <w:b/>
                <w:bCs/>
                <w:sz w:val="20"/>
                <w:szCs w:val="20"/>
              </w:rPr>
              <w:t xml:space="preserve"> the </w:t>
            </w:r>
            <w:r w:rsidR="002E5BC5">
              <w:rPr>
                <w:b/>
                <w:bCs/>
                <w:sz w:val="20"/>
                <w:szCs w:val="20"/>
              </w:rPr>
              <w:t>Music</w:t>
            </w:r>
            <w:r w:rsidR="00165495">
              <w:rPr>
                <w:b/>
                <w:bCs/>
                <w:sz w:val="20"/>
                <w:szCs w:val="20"/>
              </w:rPr>
              <w:t xml:space="preserve"> </w:t>
            </w:r>
            <w:r w:rsidRPr="03CAF6BD">
              <w:rPr>
                <w:b/>
                <w:bCs/>
                <w:sz w:val="20"/>
                <w:szCs w:val="20"/>
              </w:rPr>
              <w:t>curriculum</w:t>
            </w:r>
            <w:r w:rsidR="7E4B9F7B" w:rsidRPr="03CAF6BD">
              <w:rPr>
                <w:b/>
                <w:bCs/>
                <w:sz w:val="20"/>
                <w:szCs w:val="20"/>
              </w:rPr>
              <w:t xml:space="preserve">, </w:t>
            </w:r>
            <w:r w:rsidR="66FD6B67" w:rsidRPr="03CAF6BD">
              <w:rPr>
                <w:b/>
                <w:bCs/>
                <w:sz w:val="20"/>
                <w:szCs w:val="20"/>
              </w:rPr>
              <w:t>ensuring that there is consi</w:t>
            </w:r>
            <w:r w:rsidR="25A25099" w:rsidRPr="03CAF6BD">
              <w:rPr>
                <w:b/>
                <w:bCs/>
                <w:sz w:val="20"/>
                <w:szCs w:val="20"/>
              </w:rPr>
              <w:t>stency through the structure of lessons</w:t>
            </w:r>
            <w:r w:rsidR="00F128B3">
              <w:rPr>
                <w:b/>
                <w:bCs/>
                <w:sz w:val="20"/>
                <w:szCs w:val="20"/>
              </w:rPr>
              <w:t xml:space="preserve"> </w:t>
            </w:r>
            <w:r w:rsidR="25A25099" w:rsidRPr="03CAF6BD">
              <w:rPr>
                <w:b/>
                <w:bCs/>
                <w:sz w:val="20"/>
                <w:szCs w:val="20"/>
              </w:rPr>
              <w:t xml:space="preserve">and quality of the learning </w:t>
            </w:r>
            <w:r w:rsidR="45D4425C" w:rsidRPr="03CAF6BD">
              <w:rPr>
                <w:b/>
                <w:bCs/>
                <w:sz w:val="20"/>
                <w:szCs w:val="20"/>
              </w:rPr>
              <w:t>e</w:t>
            </w:r>
            <w:r w:rsidR="66FD6B67" w:rsidRPr="03CAF6BD">
              <w:rPr>
                <w:b/>
                <w:bCs/>
                <w:sz w:val="20"/>
                <w:szCs w:val="20"/>
              </w:rPr>
              <w:t>xperiences</w:t>
            </w:r>
            <w:r w:rsidRPr="03CAF6BD">
              <w:rPr>
                <w:b/>
                <w:bCs/>
                <w:sz w:val="20"/>
                <w:szCs w:val="20"/>
              </w:rPr>
              <w:t xml:space="preserve"> </w:t>
            </w:r>
            <w:r w:rsidR="5A9CF908" w:rsidRPr="03CAF6BD">
              <w:rPr>
                <w:b/>
                <w:bCs/>
                <w:sz w:val="20"/>
                <w:szCs w:val="20"/>
              </w:rPr>
              <w:t>in</w:t>
            </w:r>
            <w:r w:rsidR="00165495">
              <w:rPr>
                <w:b/>
                <w:bCs/>
                <w:sz w:val="20"/>
                <w:szCs w:val="20"/>
              </w:rPr>
              <w:t xml:space="preserve"> </w:t>
            </w:r>
            <w:r w:rsidR="002E5BC5">
              <w:rPr>
                <w:b/>
                <w:bCs/>
                <w:sz w:val="20"/>
                <w:szCs w:val="20"/>
              </w:rPr>
              <w:t>Music</w:t>
            </w:r>
            <w:r w:rsidR="5A9CF908" w:rsidRPr="03CAF6BD">
              <w:rPr>
                <w:b/>
                <w:bCs/>
                <w:sz w:val="20"/>
                <w:szCs w:val="20"/>
              </w:rPr>
              <w:t xml:space="preserve"> </w:t>
            </w:r>
            <w:r w:rsidRPr="03CAF6BD">
              <w:rPr>
                <w:b/>
                <w:bCs/>
                <w:sz w:val="20"/>
                <w:szCs w:val="20"/>
              </w:rPr>
              <w:t xml:space="preserve">so that all pupils apply their knowledge and skills with increasing fluency and independence to achieve age-related outcomes across the curriculum. </w:t>
            </w: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503A5FFF" w14:textId="77777777" w:rsidR="001E3A8D" w:rsidRPr="002A75C5" w:rsidRDefault="001E3A8D" w:rsidP="003E7E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A75C5">
              <w:rPr>
                <w:rFonts w:cstheme="minorHAnsi"/>
                <w:b/>
                <w:sz w:val="18"/>
                <w:szCs w:val="18"/>
              </w:rPr>
              <w:t>Monitoring documents to support evaluation and share with Governors</w:t>
            </w:r>
          </w:p>
        </w:tc>
      </w:tr>
      <w:tr w:rsidR="001E3A8D" w:rsidRPr="002A75C5" w14:paraId="2E55F1EC" w14:textId="77777777" w:rsidTr="00E95E32">
        <w:trPr>
          <w:trHeight w:val="738"/>
        </w:trPr>
        <w:tc>
          <w:tcPr>
            <w:tcW w:w="1021" w:type="dxa"/>
            <w:vMerge w:val="restart"/>
            <w:textDirection w:val="btLr"/>
            <w:vAlign w:val="center"/>
          </w:tcPr>
          <w:p w14:paraId="5FDC72B3" w14:textId="77777777" w:rsidR="001E3A8D" w:rsidRPr="002A75C5" w:rsidRDefault="001E3A8D" w:rsidP="003E7E80">
            <w:pPr>
              <w:ind w:left="113" w:right="113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A75C5">
              <w:rPr>
                <w:rFonts w:cstheme="minorHAnsi"/>
                <w:b/>
                <w:sz w:val="20"/>
                <w:szCs w:val="18"/>
              </w:rPr>
              <w:t>Individual Strands within the priority area</w:t>
            </w:r>
          </w:p>
        </w:tc>
        <w:tc>
          <w:tcPr>
            <w:tcW w:w="10780" w:type="dxa"/>
            <w:shd w:val="clear" w:color="auto" w:fill="B4C6E7" w:themeFill="accent1" w:themeFillTint="66"/>
            <w:vAlign w:val="center"/>
          </w:tcPr>
          <w:p w14:paraId="7EC5C75E" w14:textId="408994A1" w:rsidR="001E3A8D" w:rsidRPr="00E21B7B" w:rsidRDefault="00A91FA3" w:rsidP="00DE3D2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Regular monitoring of the subject </w:t>
            </w:r>
            <w:r w:rsidR="00E95E32">
              <w:rPr>
                <w:rFonts w:eastAsiaTheme="minorEastAsia"/>
              </w:rPr>
              <w:t>–</w:t>
            </w:r>
            <w:r>
              <w:rPr>
                <w:rFonts w:eastAsiaTheme="minorEastAsia"/>
              </w:rPr>
              <w:t xml:space="preserve"> </w:t>
            </w:r>
            <w:r w:rsidR="00E95E32">
              <w:rPr>
                <w:rFonts w:eastAsiaTheme="minorEastAsia"/>
              </w:rPr>
              <w:t>pupil voice, book looks and planning scrutiny</w:t>
            </w:r>
          </w:p>
        </w:tc>
        <w:tc>
          <w:tcPr>
            <w:tcW w:w="3830" w:type="dxa"/>
            <w:vMerge w:val="restart"/>
          </w:tcPr>
          <w:p w14:paraId="672A6659" w14:textId="77777777" w:rsidR="001E3A8D" w:rsidRPr="002A75C5" w:rsidRDefault="001E3A8D" w:rsidP="003E7E80">
            <w:pPr>
              <w:rPr>
                <w:rFonts w:eastAsia="Arial" w:cstheme="minorHAnsi"/>
                <w:b/>
                <w:sz w:val="18"/>
                <w:szCs w:val="18"/>
              </w:rPr>
            </w:pPr>
          </w:p>
          <w:p w14:paraId="7DECA045" w14:textId="77777777" w:rsidR="001E3A8D" w:rsidRPr="002A75C5" w:rsidRDefault="001E3A8D" w:rsidP="003E7E80">
            <w:pPr>
              <w:pStyle w:val="ListParagraph"/>
              <w:numPr>
                <w:ilvl w:val="0"/>
                <w:numId w:val="3"/>
              </w:numPr>
              <w:rPr>
                <w:rFonts w:eastAsia="Arial" w:cstheme="minorHAnsi"/>
                <w:b/>
                <w:sz w:val="18"/>
                <w:szCs w:val="18"/>
              </w:rPr>
            </w:pPr>
            <w:r w:rsidRPr="002A75C5">
              <w:rPr>
                <w:rFonts w:eastAsia="Arial" w:cstheme="minorHAnsi"/>
                <w:b/>
                <w:sz w:val="18"/>
                <w:szCs w:val="18"/>
              </w:rPr>
              <w:t>Curriculum Overviews</w:t>
            </w:r>
          </w:p>
          <w:p w14:paraId="307035C5" w14:textId="77777777" w:rsidR="001E3A8D" w:rsidRPr="002A75C5" w:rsidRDefault="001E3A8D" w:rsidP="003E7E80">
            <w:pPr>
              <w:pStyle w:val="ListParagraph"/>
              <w:numPr>
                <w:ilvl w:val="0"/>
                <w:numId w:val="3"/>
              </w:numPr>
              <w:rPr>
                <w:rFonts w:eastAsia="Arial" w:cstheme="minorHAnsi"/>
                <w:b/>
                <w:sz w:val="18"/>
                <w:szCs w:val="18"/>
              </w:rPr>
            </w:pPr>
            <w:r w:rsidRPr="002A75C5">
              <w:rPr>
                <w:rFonts w:eastAsia="Arial" w:cstheme="minorHAnsi"/>
                <w:b/>
                <w:sz w:val="18"/>
                <w:szCs w:val="18"/>
              </w:rPr>
              <w:t>Subject Monitoring files</w:t>
            </w:r>
          </w:p>
          <w:p w14:paraId="6DBC099C" w14:textId="77777777" w:rsidR="001E3A8D" w:rsidRPr="002A75C5" w:rsidRDefault="001E3A8D" w:rsidP="003E7E80">
            <w:pPr>
              <w:pStyle w:val="ListParagraph"/>
              <w:numPr>
                <w:ilvl w:val="0"/>
                <w:numId w:val="3"/>
              </w:numPr>
              <w:rPr>
                <w:rFonts w:eastAsia="Arial" w:cstheme="minorHAnsi"/>
                <w:b/>
                <w:sz w:val="18"/>
                <w:szCs w:val="18"/>
              </w:rPr>
            </w:pPr>
            <w:r w:rsidRPr="002A75C5">
              <w:rPr>
                <w:rFonts w:eastAsia="Arial" w:cstheme="minorHAnsi"/>
                <w:b/>
                <w:sz w:val="18"/>
                <w:szCs w:val="18"/>
              </w:rPr>
              <w:t>School Improvement Plan (SIP)</w:t>
            </w:r>
          </w:p>
          <w:p w14:paraId="0B63E28F" w14:textId="77777777" w:rsidR="001E3A8D" w:rsidRPr="009D3799" w:rsidRDefault="001E3A8D" w:rsidP="003E7E8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i/>
                <w:sz w:val="18"/>
                <w:szCs w:val="18"/>
              </w:rPr>
            </w:pPr>
            <w:r w:rsidRPr="002A75C5">
              <w:rPr>
                <w:rFonts w:cstheme="minorHAnsi"/>
                <w:b/>
                <w:sz w:val="18"/>
                <w:szCs w:val="18"/>
              </w:rPr>
              <w:t>Subject Reports/Link Gov reports</w:t>
            </w:r>
          </w:p>
          <w:p w14:paraId="0A37501D" w14:textId="77777777" w:rsidR="001E3A8D" w:rsidRDefault="001E3A8D" w:rsidP="003E7E80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7F9AEAE5" w14:textId="77777777" w:rsidR="001E3A8D" w:rsidRDefault="001E3A8D" w:rsidP="003E7E80">
            <w:pPr>
              <w:tabs>
                <w:tab w:val="center" w:pos="1807"/>
                <w:tab w:val="right" w:pos="3614"/>
              </w:tabs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ab/>
              <w:t>Colour Code:</w:t>
            </w:r>
            <w:r>
              <w:rPr>
                <w:rFonts w:cstheme="minorHAnsi"/>
                <w:b/>
                <w:i/>
                <w:sz w:val="18"/>
                <w:szCs w:val="18"/>
              </w:rPr>
              <w:tab/>
            </w:r>
          </w:p>
          <w:p w14:paraId="4013A75D" w14:textId="77777777" w:rsidR="001E3A8D" w:rsidRPr="001E3A8D" w:rsidRDefault="001E3A8D" w:rsidP="003E7E80">
            <w:pPr>
              <w:jc w:val="center"/>
              <w:rPr>
                <w:rFonts w:cstheme="minorHAnsi"/>
                <w:b/>
                <w:i/>
                <w:color w:val="FF6600"/>
                <w:sz w:val="18"/>
                <w:szCs w:val="18"/>
              </w:rPr>
            </w:pPr>
            <w:r w:rsidRPr="001E3A8D">
              <w:rPr>
                <w:rFonts w:cstheme="minorHAnsi"/>
                <w:b/>
                <w:i/>
                <w:color w:val="FF6600"/>
                <w:sz w:val="18"/>
                <w:szCs w:val="18"/>
              </w:rPr>
              <w:t>Autumn Actions</w:t>
            </w:r>
          </w:p>
          <w:p w14:paraId="7CAB5177" w14:textId="77777777" w:rsidR="001E3A8D" w:rsidRPr="009D3799" w:rsidRDefault="001E3A8D" w:rsidP="003E7E80">
            <w:pPr>
              <w:jc w:val="center"/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9D3799">
              <w:rPr>
                <w:rFonts w:cstheme="minorHAnsi"/>
                <w:b/>
                <w:i/>
                <w:color w:val="00B050"/>
                <w:sz w:val="18"/>
                <w:szCs w:val="18"/>
              </w:rPr>
              <w:t>Spring Actions</w:t>
            </w:r>
          </w:p>
          <w:p w14:paraId="2DFA3A27" w14:textId="77777777" w:rsidR="001E3A8D" w:rsidRPr="009D3799" w:rsidRDefault="001E3A8D" w:rsidP="003E7E80">
            <w:pPr>
              <w:jc w:val="center"/>
              <w:rPr>
                <w:rFonts w:cstheme="minorHAnsi"/>
                <w:b/>
                <w:i/>
                <w:color w:val="538135" w:themeColor="accent6" w:themeShade="BF"/>
                <w:sz w:val="18"/>
                <w:szCs w:val="18"/>
              </w:rPr>
            </w:pPr>
            <w:r w:rsidRPr="009D3799">
              <w:rPr>
                <w:rFonts w:cstheme="minorHAnsi"/>
                <w:b/>
                <w:i/>
                <w:color w:val="0070C0"/>
                <w:sz w:val="18"/>
                <w:szCs w:val="18"/>
              </w:rPr>
              <w:t>Summer Actions</w:t>
            </w:r>
          </w:p>
        </w:tc>
      </w:tr>
      <w:tr w:rsidR="001E3A8D" w:rsidRPr="002A75C5" w14:paraId="489A240E" w14:textId="77777777" w:rsidTr="00E95E32">
        <w:trPr>
          <w:trHeight w:val="739"/>
        </w:trPr>
        <w:tc>
          <w:tcPr>
            <w:tcW w:w="1021" w:type="dxa"/>
            <w:vMerge/>
          </w:tcPr>
          <w:p w14:paraId="5DAB6C7B" w14:textId="77777777" w:rsidR="001E3A8D" w:rsidRPr="002A75C5" w:rsidRDefault="001E3A8D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80" w:type="dxa"/>
            <w:shd w:val="clear" w:color="auto" w:fill="8EAADB" w:themeFill="accent1" w:themeFillTint="99"/>
            <w:vAlign w:val="center"/>
          </w:tcPr>
          <w:p w14:paraId="13B62F95" w14:textId="2F8B5662" w:rsidR="001E3A8D" w:rsidRPr="00E21B7B" w:rsidRDefault="00165495" w:rsidP="0D4348B3">
            <w:pPr>
              <w:pStyle w:val="ListParagraph"/>
              <w:numPr>
                <w:ilvl w:val="1"/>
                <w:numId w:val="2"/>
              </w:numPr>
            </w:pPr>
            <w:r>
              <w:t xml:space="preserve">To </w:t>
            </w:r>
            <w:r w:rsidR="00796885">
              <w:t>know what music looks like in EYFS, what it should look like and ensure high-quality teaching.</w:t>
            </w:r>
          </w:p>
        </w:tc>
        <w:tc>
          <w:tcPr>
            <w:tcW w:w="3830" w:type="dxa"/>
            <w:vMerge/>
          </w:tcPr>
          <w:p w14:paraId="02EB378F" w14:textId="77777777" w:rsidR="001E3A8D" w:rsidRPr="002A75C5" w:rsidRDefault="001E3A8D" w:rsidP="003E7E8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3A8D" w:rsidRPr="002A75C5" w14:paraId="2BA1B811" w14:textId="77777777" w:rsidTr="00E95E32">
        <w:trPr>
          <w:trHeight w:val="739"/>
        </w:trPr>
        <w:tc>
          <w:tcPr>
            <w:tcW w:w="1021" w:type="dxa"/>
            <w:vMerge/>
          </w:tcPr>
          <w:p w14:paraId="6A05A809" w14:textId="77777777" w:rsidR="001E3A8D" w:rsidRPr="002A75C5" w:rsidRDefault="001E3A8D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80" w:type="dxa"/>
            <w:shd w:val="clear" w:color="auto" w:fill="7A9FCC"/>
            <w:vAlign w:val="center"/>
          </w:tcPr>
          <w:p w14:paraId="52B4804A" w14:textId="39DBB65F" w:rsidR="001E3A8D" w:rsidRPr="00E21B7B" w:rsidRDefault="00165495" w:rsidP="0D4348B3">
            <w:pPr>
              <w:pStyle w:val="ListParagraph"/>
              <w:numPr>
                <w:ilvl w:val="1"/>
                <w:numId w:val="2"/>
              </w:numPr>
            </w:pPr>
            <w:r>
              <w:t xml:space="preserve">To ensure </w:t>
            </w:r>
            <w:r w:rsidR="00796885">
              <w:t>consistency of teaching and learning throughout the school.</w:t>
            </w:r>
          </w:p>
        </w:tc>
        <w:tc>
          <w:tcPr>
            <w:tcW w:w="3830" w:type="dxa"/>
            <w:vMerge/>
          </w:tcPr>
          <w:p w14:paraId="5A39BBE3" w14:textId="77777777" w:rsidR="001E3A8D" w:rsidRPr="002A75C5" w:rsidRDefault="001E3A8D" w:rsidP="003E7E8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1829076" w14:textId="77777777" w:rsidR="00AC2209" w:rsidRDefault="00AC2209"/>
    <w:p w14:paraId="2BA226A1" w14:textId="77777777" w:rsidR="00AC2209" w:rsidRDefault="00AC2209"/>
    <w:tbl>
      <w:tblPr>
        <w:tblStyle w:val="TableGrid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1134"/>
        <w:gridCol w:w="1276"/>
        <w:gridCol w:w="1417"/>
        <w:gridCol w:w="1418"/>
        <w:gridCol w:w="6237"/>
      </w:tblGrid>
      <w:tr w:rsidR="0041757A" w:rsidRPr="002A75C5" w14:paraId="69F6CE5F" w14:textId="77777777" w:rsidTr="6FEA89F8">
        <w:trPr>
          <w:trHeight w:val="348"/>
        </w:trPr>
        <w:tc>
          <w:tcPr>
            <w:tcW w:w="15622" w:type="dxa"/>
            <w:gridSpan w:val="7"/>
            <w:shd w:val="clear" w:color="auto" w:fill="0070C0"/>
            <w:vAlign w:val="center"/>
          </w:tcPr>
          <w:p w14:paraId="45BB403E" w14:textId="6A256F41" w:rsidR="0041757A" w:rsidRPr="00F128B3" w:rsidRDefault="00E554DF" w:rsidP="00F128B3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t xml:space="preserve">Ensure monitoring and the development of the </w:t>
            </w:r>
            <w:r w:rsidR="00796885">
              <w:t>music</w:t>
            </w:r>
            <w:r>
              <w:t xml:space="preserve"> curriculum and communicate these developments to relevant stakeholders.</w:t>
            </w:r>
          </w:p>
        </w:tc>
      </w:tr>
      <w:tr w:rsidR="0041757A" w:rsidRPr="002A75C5" w14:paraId="32C56F25" w14:textId="77777777" w:rsidTr="6FEA89F8">
        <w:trPr>
          <w:trHeight w:val="623"/>
        </w:trPr>
        <w:tc>
          <w:tcPr>
            <w:tcW w:w="738" w:type="dxa"/>
            <w:shd w:val="clear" w:color="auto" w:fill="0070C0"/>
            <w:vAlign w:val="center"/>
          </w:tcPr>
          <w:p w14:paraId="5837B4ED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3402" w:type="dxa"/>
            <w:shd w:val="clear" w:color="auto" w:fill="0070C0"/>
            <w:vAlign w:val="center"/>
          </w:tcPr>
          <w:p w14:paraId="2DEDCF4F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6B821B4D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Lead Person</w:t>
            </w:r>
          </w:p>
        </w:tc>
        <w:tc>
          <w:tcPr>
            <w:tcW w:w="1276" w:type="dxa"/>
            <w:shd w:val="clear" w:color="auto" w:fill="0070C0"/>
            <w:vAlign w:val="center"/>
          </w:tcPr>
          <w:p w14:paraId="483BB044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Monitored</w:t>
            </w:r>
            <w:r w:rsidRPr="002A75C5">
              <w:rPr>
                <w:rFonts w:cstheme="minorHAnsi"/>
                <w:b/>
                <w:color w:val="FFFFFF" w:themeColor="background1"/>
                <w:sz w:val="10"/>
                <w:szCs w:val="18"/>
              </w:rPr>
              <w:t xml:space="preserve"> </w:t>
            </w: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by</w:t>
            </w:r>
          </w:p>
        </w:tc>
        <w:tc>
          <w:tcPr>
            <w:tcW w:w="1417" w:type="dxa"/>
            <w:shd w:val="clear" w:color="auto" w:fill="0070C0"/>
            <w:vAlign w:val="center"/>
          </w:tcPr>
          <w:p w14:paraId="5A13173F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Method of Monitoring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4AE26511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Resource Finance</w:t>
            </w:r>
          </w:p>
        </w:tc>
        <w:tc>
          <w:tcPr>
            <w:tcW w:w="6237" w:type="dxa"/>
            <w:shd w:val="clear" w:color="auto" w:fill="0070C0"/>
            <w:vAlign w:val="center"/>
          </w:tcPr>
          <w:p w14:paraId="372ACB9B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Success Criteria Milestones/Progress</w:t>
            </w:r>
          </w:p>
        </w:tc>
      </w:tr>
      <w:tr w:rsidR="004C6096" w:rsidRPr="002A75C5" w14:paraId="3FBD6A8C" w14:textId="77777777" w:rsidTr="6FEA89F8">
        <w:trPr>
          <w:trHeight w:val="339"/>
        </w:trPr>
        <w:tc>
          <w:tcPr>
            <w:tcW w:w="738" w:type="dxa"/>
            <w:vMerge w:val="restart"/>
            <w:shd w:val="clear" w:color="auto" w:fill="FFFFFF" w:themeFill="background1"/>
          </w:tcPr>
          <w:p w14:paraId="17AD93B2" w14:textId="77777777" w:rsidR="004C6096" w:rsidRPr="002A75C5" w:rsidRDefault="004C6096" w:rsidP="003E7E80">
            <w:pPr>
              <w:rPr>
                <w:rFonts w:cstheme="minorHAnsi"/>
                <w:sz w:val="18"/>
                <w:szCs w:val="18"/>
              </w:rPr>
            </w:pPr>
          </w:p>
          <w:p w14:paraId="39D7D509" w14:textId="77A83EE8" w:rsidR="004C6096" w:rsidRPr="002A75C5" w:rsidRDefault="004C6096" w:rsidP="003E7E80">
            <w:pPr>
              <w:rPr>
                <w:rFonts w:cstheme="minorHAnsi"/>
                <w:sz w:val="18"/>
                <w:szCs w:val="18"/>
              </w:rPr>
            </w:pPr>
            <w:r w:rsidRPr="002A75C5">
              <w:rPr>
                <w:rFonts w:cstheme="minorHAnsi"/>
                <w:sz w:val="18"/>
                <w:szCs w:val="18"/>
              </w:rPr>
              <w:t>1.</w:t>
            </w:r>
            <w:r w:rsidR="00D24CA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0C8E72F7" w14:textId="782A23F2" w:rsidR="004C6096" w:rsidRPr="00172FDA" w:rsidRDefault="004C6096" w:rsidP="6FEA89F8">
            <w:pPr>
              <w:rPr>
                <w:sz w:val="18"/>
                <w:szCs w:val="18"/>
              </w:rPr>
            </w:pPr>
            <w:r w:rsidRPr="6FEA89F8">
              <w:rPr>
                <w:sz w:val="18"/>
                <w:szCs w:val="18"/>
              </w:rPr>
              <w:t xml:space="preserve">Monitor the quality of teaching and high standard of work in </w:t>
            </w:r>
            <w:r w:rsidR="00E7492E">
              <w:rPr>
                <w:sz w:val="18"/>
                <w:szCs w:val="18"/>
              </w:rPr>
              <w:t>music</w:t>
            </w:r>
          </w:p>
        </w:tc>
        <w:tc>
          <w:tcPr>
            <w:tcW w:w="1134" w:type="dxa"/>
            <w:vMerge w:val="restart"/>
            <w:vAlign w:val="center"/>
          </w:tcPr>
          <w:p w14:paraId="3C27EF7B" w14:textId="69996B98" w:rsidR="004C6096" w:rsidRPr="00172FDA" w:rsidRDefault="00E7492E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LW</w:t>
            </w:r>
          </w:p>
        </w:tc>
        <w:tc>
          <w:tcPr>
            <w:tcW w:w="1276" w:type="dxa"/>
            <w:vMerge w:val="restart"/>
            <w:vAlign w:val="center"/>
          </w:tcPr>
          <w:p w14:paraId="7A13CE7E" w14:textId="4D06FC3B" w:rsidR="004C6096" w:rsidRPr="00172FDA" w:rsidRDefault="006B5EE8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097D86B3" w14:textId="77777777" w:rsidR="004C6096" w:rsidRPr="00172FDA" w:rsidRDefault="004C6096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>Monitoring sheet</w:t>
            </w:r>
          </w:p>
          <w:p w14:paraId="5C1C8504" w14:textId="4A79F3D2" w:rsidR="004C6096" w:rsidRPr="00172FDA" w:rsidRDefault="004C6096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>Feedback given</w:t>
            </w:r>
          </w:p>
        </w:tc>
        <w:tc>
          <w:tcPr>
            <w:tcW w:w="1418" w:type="dxa"/>
            <w:vMerge w:val="restart"/>
            <w:vAlign w:val="center"/>
          </w:tcPr>
          <w:p w14:paraId="02CA5BCA" w14:textId="7D47E25E" w:rsidR="004C6096" w:rsidRPr="00172FDA" w:rsidRDefault="00EF5F79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>Subject monitoring time</w:t>
            </w:r>
          </w:p>
        </w:tc>
        <w:tc>
          <w:tcPr>
            <w:tcW w:w="6237" w:type="dxa"/>
            <w:vAlign w:val="center"/>
          </w:tcPr>
          <w:p w14:paraId="519442E1" w14:textId="0D960239" w:rsidR="004C6096" w:rsidRPr="005B5C76" w:rsidRDefault="004C6096" w:rsidP="003E7E80">
            <w:pPr>
              <w:rPr>
                <w:rFonts w:cstheme="minorHAnsi"/>
                <w:i/>
                <w:iCs/>
                <w:color w:val="ED7D31" w:themeColor="accent2"/>
                <w:sz w:val="18"/>
                <w:szCs w:val="18"/>
              </w:rPr>
            </w:pPr>
            <w:r>
              <w:rPr>
                <w:i/>
                <w:iCs/>
                <w:color w:val="ED7D31" w:themeColor="accent2"/>
                <w:sz w:val="18"/>
                <w:szCs w:val="18"/>
              </w:rPr>
              <w:t>Monitoring sheet is updated</w:t>
            </w:r>
            <w:r w:rsidR="0031363B">
              <w:rPr>
                <w:i/>
                <w:iCs/>
                <w:color w:val="ED7D31" w:themeColor="accent2"/>
                <w:sz w:val="18"/>
                <w:szCs w:val="18"/>
              </w:rPr>
              <w:t xml:space="preserve"> with possible </w:t>
            </w:r>
            <w:r w:rsidR="007F62F3">
              <w:rPr>
                <w:i/>
                <w:iCs/>
                <w:color w:val="ED7D31" w:themeColor="accent2"/>
                <w:sz w:val="18"/>
                <w:szCs w:val="18"/>
              </w:rPr>
              <w:t>threads to develop over the school year</w:t>
            </w:r>
          </w:p>
        </w:tc>
      </w:tr>
      <w:tr w:rsidR="004C6096" w:rsidRPr="002A75C5" w14:paraId="2DD4089E" w14:textId="77777777" w:rsidTr="6FEA89F8">
        <w:trPr>
          <w:trHeight w:val="263"/>
        </w:trPr>
        <w:tc>
          <w:tcPr>
            <w:tcW w:w="738" w:type="dxa"/>
            <w:vMerge/>
          </w:tcPr>
          <w:p w14:paraId="0DE4B5B7" w14:textId="77777777" w:rsidR="004C6096" w:rsidRPr="002A75C5" w:rsidRDefault="004C6096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66204FF1" w14:textId="77777777" w:rsidR="004C6096" w:rsidRPr="00172FDA" w:rsidRDefault="004C6096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BF0D7D" w14:textId="77777777" w:rsidR="004C6096" w:rsidRPr="00172FDA" w:rsidRDefault="004C6096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B62F1B3" w14:textId="77777777" w:rsidR="004C6096" w:rsidRPr="00172FDA" w:rsidRDefault="004C6096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2F2C34E" w14:textId="77777777" w:rsidR="004C6096" w:rsidRPr="00172FDA" w:rsidRDefault="004C6096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80A4E5D" w14:textId="77777777" w:rsidR="004C6096" w:rsidRPr="00172FDA" w:rsidRDefault="004C6096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1C7C2632" w14:textId="4429B5AF" w:rsidR="004C6096" w:rsidRPr="005B5C76" w:rsidRDefault="007F62F3" w:rsidP="003E7E80">
            <w:pPr>
              <w:rPr>
                <w:rFonts w:cstheme="minorHAnsi"/>
                <w:i/>
                <w:iCs/>
                <w:color w:val="ED7D31" w:themeColor="accent2"/>
                <w:sz w:val="18"/>
                <w:szCs w:val="18"/>
              </w:rPr>
            </w:pPr>
            <w:r w:rsidRPr="00637380">
              <w:rPr>
                <w:i/>
                <w:iCs/>
                <w:color w:val="00B050"/>
                <w:sz w:val="18"/>
                <w:szCs w:val="18"/>
              </w:rPr>
              <w:t>A</w:t>
            </w:r>
            <w:r w:rsidR="004C6096" w:rsidRPr="00637380">
              <w:rPr>
                <w:i/>
                <w:iCs/>
                <w:color w:val="00B050"/>
                <w:sz w:val="18"/>
                <w:szCs w:val="18"/>
              </w:rPr>
              <w:t xml:space="preserve">reas of strength and areas </w:t>
            </w:r>
            <w:r w:rsidR="003B110E" w:rsidRPr="00637380">
              <w:rPr>
                <w:i/>
                <w:iCs/>
                <w:color w:val="00B050"/>
                <w:sz w:val="18"/>
                <w:szCs w:val="18"/>
              </w:rPr>
              <w:t>for development</w:t>
            </w:r>
            <w:r w:rsidR="004C6096" w:rsidRPr="00637380">
              <w:rPr>
                <w:i/>
                <w:iCs/>
                <w:color w:val="00B050"/>
                <w:sz w:val="18"/>
                <w:szCs w:val="18"/>
              </w:rPr>
              <w:t xml:space="preserve"> </w:t>
            </w:r>
            <w:r w:rsidRPr="00637380">
              <w:rPr>
                <w:i/>
                <w:iCs/>
                <w:color w:val="00B050"/>
                <w:sz w:val="18"/>
                <w:szCs w:val="18"/>
              </w:rPr>
              <w:t>are identified</w:t>
            </w:r>
            <w:r w:rsidR="003B110E" w:rsidRPr="00637380">
              <w:rPr>
                <w:i/>
                <w:iCs/>
                <w:color w:val="00B050"/>
                <w:sz w:val="18"/>
                <w:szCs w:val="18"/>
              </w:rPr>
              <w:t xml:space="preserve"> </w:t>
            </w:r>
          </w:p>
        </w:tc>
      </w:tr>
      <w:tr w:rsidR="00637380" w:rsidRPr="002A75C5" w14:paraId="63C58109" w14:textId="77777777" w:rsidTr="6FEA89F8">
        <w:trPr>
          <w:trHeight w:val="368"/>
        </w:trPr>
        <w:tc>
          <w:tcPr>
            <w:tcW w:w="738" w:type="dxa"/>
            <w:vMerge/>
          </w:tcPr>
          <w:p w14:paraId="57B528E5" w14:textId="77777777" w:rsidR="00637380" w:rsidRPr="002A75C5" w:rsidRDefault="00637380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BEED0A0" w14:textId="77777777" w:rsidR="00637380" w:rsidRPr="00172FDA" w:rsidRDefault="00637380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3C6787E" w14:textId="77777777" w:rsidR="00637380" w:rsidRPr="00172FDA" w:rsidRDefault="00637380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00968F8" w14:textId="77777777" w:rsidR="00637380" w:rsidRPr="00172FDA" w:rsidRDefault="00637380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40CBADA" w14:textId="77777777" w:rsidR="00637380" w:rsidRPr="00172FDA" w:rsidRDefault="00637380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768FEFC" w14:textId="77777777" w:rsidR="00637380" w:rsidRPr="00172FDA" w:rsidRDefault="00637380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320ACF75" w14:textId="556F1626" w:rsidR="00637380" w:rsidRPr="005B5C76" w:rsidRDefault="00637380" w:rsidP="003E7E80">
            <w:pPr>
              <w:rPr>
                <w:i/>
                <w:iCs/>
                <w:color w:val="ED7D31" w:themeColor="accent2"/>
                <w:sz w:val="18"/>
                <w:szCs w:val="18"/>
              </w:rPr>
            </w:pPr>
            <w:r w:rsidRPr="00637380">
              <w:rPr>
                <w:i/>
                <w:iCs/>
                <w:color w:val="0070C0"/>
                <w:sz w:val="18"/>
                <w:szCs w:val="18"/>
              </w:rPr>
              <w:t>Priorities for next year are identified</w:t>
            </w:r>
            <w:r w:rsidR="005C03B2">
              <w:rPr>
                <w:i/>
                <w:iCs/>
                <w:color w:val="0070C0"/>
                <w:sz w:val="18"/>
                <w:szCs w:val="18"/>
              </w:rPr>
              <w:t xml:space="preserve"> and added to the subject lead impact report</w:t>
            </w:r>
          </w:p>
        </w:tc>
      </w:tr>
      <w:tr w:rsidR="00AB286D" w:rsidRPr="002A75C5" w14:paraId="653A9E90" w14:textId="77777777" w:rsidTr="6FEA89F8">
        <w:trPr>
          <w:trHeight w:val="262"/>
        </w:trPr>
        <w:tc>
          <w:tcPr>
            <w:tcW w:w="738" w:type="dxa"/>
            <w:vMerge/>
          </w:tcPr>
          <w:p w14:paraId="59A2260B" w14:textId="77777777" w:rsidR="00AB286D" w:rsidRPr="002A75C5" w:rsidRDefault="00AB286D" w:rsidP="00AB28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C9A5B9F" w14:textId="6E12287F" w:rsidR="00AB286D" w:rsidRPr="00172FDA" w:rsidRDefault="00AB286D" w:rsidP="00AB286D">
            <w:pPr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 xml:space="preserve">Carry out pupil voice session </w:t>
            </w:r>
          </w:p>
        </w:tc>
        <w:tc>
          <w:tcPr>
            <w:tcW w:w="1134" w:type="dxa"/>
            <w:vAlign w:val="center"/>
          </w:tcPr>
          <w:p w14:paraId="08B9C49F" w14:textId="4479185F" w:rsidR="00AB286D" w:rsidRPr="00172FDA" w:rsidRDefault="00E7492E" w:rsidP="00AB28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LW</w:t>
            </w:r>
          </w:p>
        </w:tc>
        <w:tc>
          <w:tcPr>
            <w:tcW w:w="1276" w:type="dxa"/>
            <w:vAlign w:val="center"/>
          </w:tcPr>
          <w:p w14:paraId="59B8C3C7" w14:textId="3B621506" w:rsidR="00AB286D" w:rsidRPr="00172FDA" w:rsidRDefault="00AB286D" w:rsidP="00AB28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Align w:val="center"/>
          </w:tcPr>
          <w:p w14:paraId="52F4C532" w14:textId="77777777" w:rsidR="00AB286D" w:rsidRPr="00172FDA" w:rsidRDefault="00AB286D" w:rsidP="00AB28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>Monitoring sheet</w:t>
            </w:r>
          </w:p>
          <w:p w14:paraId="203B9617" w14:textId="133E01CF" w:rsidR="00AB286D" w:rsidRPr="00172FDA" w:rsidRDefault="00AB286D" w:rsidP="00AB28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>Feedback given</w:t>
            </w:r>
          </w:p>
        </w:tc>
        <w:tc>
          <w:tcPr>
            <w:tcW w:w="1418" w:type="dxa"/>
            <w:vAlign w:val="center"/>
          </w:tcPr>
          <w:p w14:paraId="28F9C04E" w14:textId="4CD8293B" w:rsidR="00AB286D" w:rsidRPr="00172FDA" w:rsidRDefault="00AB286D" w:rsidP="00AB28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>Subject monitoring time</w:t>
            </w:r>
          </w:p>
        </w:tc>
        <w:tc>
          <w:tcPr>
            <w:tcW w:w="6237" w:type="dxa"/>
            <w:vAlign w:val="center"/>
          </w:tcPr>
          <w:p w14:paraId="105342E9" w14:textId="3860117D" w:rsidR="00AB286D" w:rsidRPr="005B5C76" w:rsidRDefault="005C03B2" w:rsidP="00AB286D">
            <w:pPr>
              <w:rPr>
                <w:i/>
                <w:iCs/>
                <w:color w:val="ED7D31" w:themeColor="accent2"/>
                <w:sz w:val="18"/>
                <w:szCs w:val="18"/>
              </w:rPr>
            </w:pPr>
            <w:r w:rsidRPr="005C03B2">
              <w:rPr>
                <w:i/>
                <w:iCs/>
                <w:sz w:val="18"/>
                <w:szCs w:val="18"/>
              </w:rPr>
              <w:t>Different groups of c</w:t>
            </w:r>
            <w:r w:rsidR="00AB286D" w:rsidRPr="005C03B2">
              <w:rPr>
                <w:i/>
                <w:iCs/>
                <w:sz w:val="18"/>
                <w:szCs w:val="18"/>
              </w:rPr>
              <w:t xml:space="preserve">hildren are able to </w:t>
            </w:r>
            <w:r w:rsidR="00637380" w:rsidRPr="005C03B2">
              <w:rPr>
                <w:i/>
                <w:iCs/>
                <w:sz w:val="18"/>
                <w:szCs w:val="18"/>
              </w:rPr>
              <w:t>articulate their learning</w:t>
            </w:r>
            <w:r w:rsidR="00491DCC" w:rsidRPr="005C03B2">
              <w:rPr>
                <w:i/>
                <w:iCs/>
                <w:sz w:val="18"/>
                <w:szCs w:val="18"/>
              </w:rPr>
              <w:t xml:space="preserve"> and make links between units</w:t>
            </w:r>
            <w:r w:rsidRPr="005C03B2">
              <w:rPr>
                <w:i/>
                <w:iCs/>
                <w:sz w:val="18"/>
                <w:szCs w:val="18"/>
              </w:rPr>
              <w:t xml:space="preserve"> of the curriculum</w:t>
            </w:r>
            <w:r w:rsidR="00491DCC" w:rsidRPr="005C03B2">
              <w:rPr>
                <w:i/>
                <w:iCs/>
                <w:sz w:val="18"/>
                <w:szCs w:val="18"/>
              </w:rPr>
              <w:t xml:space="preserve">.  </w:t>
            </w:r>
          </w:p>
        </w:tc>
      </w:tr>
      <w:tr w:rsidR="006B5EE8" w:rsidRPr="002A75C5" w14:paraId="055F1FFC" w14:textId="77777777" w:rsidTr="6FEA89F8">
        <w:trPr>
          <w:trHeight w:val="330"/>
        </w:trPr>
        <w:tc>
          <w:tcPr>
            <w:tcW w:w="738" w:type="dxa"/>
            <w:vMerge/>
          </w:tcPr>
          <w:p w14:paraId="3F59F8D5" w14:textId="77777777" w:rsidR="006B5EE8" w:rsidRPr="002A75C5" w:rsidRDefault="006B5EE8" w:rsidP="006B5EE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9ABD08D" w14:textId="79E6D6C2" w:rsidR="006B5EE8" w:rsidRPr="00172FDA" w:rsidRDefault="00B2119C" w:rsidP="006B5EE8">
            <w:pPr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>Develop</w:t>
            </w:r>
            <w:r w:rsidR="006B5EE8" w:rsidRPr="00172FDA">
              <w:rPr>
                <w:rFonts w:cstheme="minorHAnsi"/>
                <w:sz w:val="18"/>
                <w:szCs w:val="18"/>
              </w:rPr>
              <w:t xml:space="preserve"> </w:t>
            </w:r>
            <w:r w:rsidRPr="00172FDA">
              <w:rPr>
                <w:rFonts w:cstheme="minorHAnsi"/>
                <w:sz w:val="18"/>
                <w:szCs w:val="18"/>
              </w:rPr>
              <w:t>the</w:t>
            </w:r>
            <w:r w:rsidR="006B5EE8" w:rsidRPr="00172FDA">
              <w:rPr>
                <w:rFonts w:cstheme="minorHAnsi"/>
                <w:sz w:val="18"/>
                <w:szCs w:val="18"/>
              </w:rPr>
              <w:t xml:space="preserve"> website </w:t>
            </w:r>
            <w:r w:rsidRPr="00172FDA">
              <w:rPr>
                <w:rFonts w:cstheme="minorHAnsi"/>
                <w:sz w:val="18"/>
                <w:szCs w:val="18"/>
              </w:rPr>
              <w:t>page for</w:t>
            </w:r>
            <w:r w:rsidR="006B5EE8" w:rsidRPr="00172FDA">
              <w:rPr>
                <w:rFonts w:cstheme="minorHAnsi"/>
                <w:sz w:val="18"/>
                <w:szCs w:val="18"/>
              </w:rPr>
              <w:t xml:space="preserve"> </w:t>
            </w:r>
            <w:r w:rsidR="00E7492E">
              <w:rPr>
                <w:rFonts w:cstheme="minorHAnsi"/>
                <w:sz w:val="18"/>
                <w:szCs w:val="18"/>
              </w:rPr>
              <w:t>music</w:t>
            </w:r>
          </w:p>
        </w:tc>
        <w:tc>
          <w:tcPr>
            <w:tcW w:w="1134" w:type="dxa"/>
            <w:vMerge w:val="restart"/>
            <w:vAlign w:val="center"/>
          </w:tcPr>
          <w:p w14:paraId="4F6CB4DF" w14:textId="2FD113FF" w:rsidR="006B5EE8" w:rsidRPr="00172FDA" w:rsidRDefault="00E7492E" w:rsidP="006B5E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LW</w:t>
            </w:r>
          </w:p>
        </w:tc>
        <w:tc>
          <w:tcPr>
            <w:tcW w:w="1276" w:type="dxa"/>
            <w:vMerge w:val="restart"/>
          </w:tcPr>
          <w:p w14:paraId="1863AE66" w14:textId="1AC57DB0" w:rsidR="006B5EE8" w:rsidRPr="00172FDA" w:rsidRDefault="006B5EE8" w:rsidP="006B5E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43263B4C" w14:textId="28C98A7D" w:rsidR="006B5EE8" w:rsidRPr="00172FDA" w:rsidRDefault="006B5EE8" w:rsidP="006B5E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 xml:space="preserve">Discussions with curriculum lead.  </w:t>
            </w:r>
          </w:p>
        </w:tc>
        <w:tc>
          <w:tcPr>
            <w:tcW w:w="1418" w:type="dxa"/>
            <w:vMerge w:val="restart"/>
            <w:vAlign w:val="center"/>
          </w:tcPr>
          <w:p w14:paraId="2CBDADF3" w14:textId="2BE3EA92" w:rsidR="006B5EE8" w:rsidRPr="00172FDA" w:rsidRDefault="006B5EE8" w:rsidP="006B5E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2FDA">
              <w:rPr>
                <w:rFonts w:cstheme="minorHAnsi"/>
                <w:sz w:val="18"/>
                <w:szCs w:val="18"/>
              </w:rPr>
              <w:t xml:space="preserve">Subject leader time. </w:t>
            </w:r>
          </w:p>
        </w:tc>
        <w:tc>
          <w:tcPr>
            <w:tcW w:w="6237" w:type="dxa"/>
            <w:vAlign w:val="center"/>
          </w:tcPr>
          <w:p w14:paraId="03C706DE" w14:textId="0AAB66CC" w:rsidR="006B5EE8" w:rsidRDefault="006B5EE8" w:rsidP="006B5EE8">
            <w:pPr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Subject webpages are up to date</w:t>
            </w:r>
            <w:r w:rsidR="00B2119C">
              <w:rPr>
                <w:color w:val="ED7D31" w:themeColor="accent2"/>
                <w:sz w:val="18"/>
                <w:szCs w:val="18"/>
              </w:rPr>
              <w:t xml:space="preserve"> with essential </w:t>
            </w:r>
            <w:r w:rsidR="00897A23">
              <w:rPr>
                <w:color w:val="ED7D31" w:themeColor="accent2"/>
                <w:sz w:val="18"/>
                <w:szCs w:val="18"/>
              </w:rPr>
              <w:t xml:space="preserve">curriculum </w:t>
            </w:r>
            <w:r w:rsidR="00B2119C">
              <w:rPr>
                <w:color w:val="ED7D31" w:themeColor="accent2"/>
                <w:sz w:val="18"/>
                <w:szCs w:val="18"/>
              </w:rPr>
              <w:t xml:space="preserve">information – curriculum progression plans, </w:t>
            </w:r>
            <w:r w:rsidR="00B52979">
              <w:rPr>
                <w:color w:val="ED7D31" w:themeColor="accent2"/>
                <w:sz w:val="18"/>
                <w:szCs w:val="18"/>
              </w:rPr>
              <w:t xml:space="preserve"> knowledge organisers</w:t>
            </w:r>
            <w:r w:rsidR="00EA0BBC">
              <w:rPr>
                <w:color w:val="ED7D31" w:themeColor="accent2"/>
                <w:sz w:val="18"/>
                <w:szCs w:val="18"/>
              </w:rPr>
              <w:t xml:space="preserve"> etc</w:t>
            </w:r>
            <w:r>
              <w:rPr>
                <w:color w:val="ED7D31" w:themeColor="accent2"/>
                <w:sz w:val="18"/>
                <w:szCs w:val="18"/>
              </w:rPr>
              <w:t xml:space="preserve">. </w:t>
            </w:r>
          </w:p>
        </w:tc>
      </w:tr>
      <w:tr w:rsidR="005C03B2" w:rsidRPr="002A75C5" w14:paraId="569AE806" w14:textId="77777777" w:rsidTr="6FEA89F8">
        <w:trPr>
          <w:trHeight w:val="330"/>
        </w:trPr>
        <w:tc>
          <w:tcPr>
            <w:tcW w:w="738" w:type="dxa"/>
            <w:vMerge/>
          </w:tcPr>
          <w:p w14:paraId="26D8B64B" w14:textId="77777777" w:rsidR="005C03B2" w:rsidRPr="002A75C5" w:rsidRDefault="005C03B2" w:rsidP="006B5EE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62D61E3B" w14:textId="77777777" w:rsidR="005C03B2" w:rsidRDefault="005C03B2" w:rsidP="006B5EE8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B52A61C" w14:textId="77777777" w:rsidR="005C03B2" w:rsidRPr="001E3A8D" w:rsidRDefault="005C03B2" w:rsidP="006B5EE8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CBB507F" w14:textId="77777777" w:rsidR="005C03B2" w:rsidRPr="009D01BC" w:rsidRDefault="005C03B2" w:rsidP="006B5EE8">
            <w:pPr>
              <w:jc w:val="center"/>
              <w:rPr>
                <w:rFonts w:cstheme="minorHAnsi"/>
                <w:color w:val="ED7D31" w:themeColor="accent2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90BE72F" w14:textId="77777777" w:rsidR="005C03B2" w:rsidRDefault="005C03B2" w:rsidP="006B5EE8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8B0E81D" w14:textId="77777777" w:rsidR="005C03B2" w:rsidRDefault="005C03B2" w:rsidP="006B5EE8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15C58C0F" w14:textId="4294B4C0" w:rsidR="005C03B2" w:rsidRDefault="00EA0BBC" w:rsidP="006B5EE8">
            <w:pPr>
              <w:rPr>
                <w:color w:val="ED7D31" w:themeColor="accent2"/>
                <w:sz w:val="18"/>
                <w:szCs w:val="18"/>
              </w:rPr>
            </w:pPr>
            <w:r w:rsidRPr="00EA0BBC">
              <w:rPr>
                <w:color w:val="00B050"/>
                <w:sz w:val="18"/>
                <w:szCs w:val="18"/>
              </w:rPr>
              <w:t>Examples of work and photos are uploaded</w:t>
            </w:r>
            <w:r>
              <w:rPr>
                <w:color w:val="00B050"/>
                <w:sz w:val="18"/>
                <w:szCs w:val="18"/>
              </w:rPr>
              <w:t xml:space="preserve"> to the</w:t>
            </w:r>
            <w:r w:rsidR="00B20FF9">
              <w:rPr>
                <w:color w:val="00B050"/>
                <w:sz w:val="18"/>
                <w:szCs w:val="18"/>
              </w:rPr>
              <w:t xml:space="preserve"> subject webpage</w:t>
            </w:r>
          </w:p>
        </w:tc>
      </w:tr>
      <w:tr w:rsidR="00D24CA4" w:rsidRPr="002A75C5" w14:paraId="2EE365B7" w14:textId="77777777" w:rsidTr="6FEA89F8">
        <w:trPr>
          <w:trHeight w:val="298"/>
        </w:trPr>
        <w:tc>
          <w:tcPr>
            <w:tcW w:w="738" w:type="dxa"/>
            <w:vMerge/>
          </w:tcPr>
          <w:p w14:paraId="1267F810" w14:textId="77777777" w:rsidR="00D24CA4" w:rsidRPr="002A75C5" w:rsidRDefault="00D24CA4" w:rsidP="006B5EE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9A43F60" w14:textId="77777777" w:rsidR="00D24CA4" w:rsidRDefault="00D24CA4" w:rsidP="006B5EE8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D201D3D" w14:textId="77777777" w:rsidR="00D24CA4" w:rsidRPr="001E3A8D" w:rsidRDefault="00D24CA4" w:rsidP="006B5EE8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40EA56D" w14:textId="77777777" w:rsidR="00D24CA4" w:rsidRPr="001E3A8D" w:rsidRDefault="00D24CA4" w:rsidP="006B5EE8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0ECE83E" w14:textId="77777777" w:rsidR="00D24CA4" w:rsidRDefault="00D24CA4" w:rsidP="006B5EE8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965B5A" w14:textId="77777777" w:rsidR="00D24CA4" w:rsidRPr="001E3A8D" w:rsidRDefault="00D24CA4" w:rsidP="006B5EE8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323B7AD1" w14:textId="55B390DF" w:rsidR="00D24CA4" w:rsidRDefault="00B20FF9" w:rsidP="006B5EE8">
            <w:pPr>
              <w:rPr>
                <w:color w:val="ED7D31" w:themeColor="accent2"/>
                <w:sz w:val="18"/>
                <w:szCs w:val="18"/>
              </w:rPr>
            </w:pPr>
            <w:r w:rsidRPr="00172FDA">
              <w:rPr>
                <w:color w:val="4472C4" w:themeColor="accent1"/>
                <w:sz w:val="18"/>
                <w:szCs w:val="18"/>
              </w:rPr>
              <w:t xml:space="preserve">Useful links and </w:t>
            </w:r>
            <w:r w:rsidR="00172FDA" w:rsidRPr="00172FDA">
              <w:rPr>
                <w:color w:val="4472C4" w:themeColor="accent1"/>
                <w:sz w:val="18"/>
                <w:szCs w:val="18"/>
              </w:rPr>
              <w:t>websites for pupils are added to the webpage</w:t>
            </w:r>
          </w:p>
        </w:tc>
      </w:tr>
      <w:tr w:rsidR="00165EEA" w:rsidRPr="002A75C5" w14:paraId="13B13A67" w14:textId="77777777" w:rsidTr="6FEA89F8">
        <w:trPr>
          <w:trHeight w:val="1334"/>
        </w:trPr>
        <w:tc>
          <w:tcPr>
            <w:tcW w:w="738" w:type="dxa"/>
          </w:tcPr>
          <w:p w14:paraId="1823A1D9" w14:textId="4200F632" w:rsidR="00165EEA" w:rsidRPr="002A75C5" w:rsidRDefault="00165EEA" w:rsidP="006B5E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Impact</w:t>
            </w:r>
          </w:p>
        </w:tc>
        <w:tc>
          <w:tcPr>
            <w:tcW w:w="14884" w:type="dxa"/>
            <w:gridSpan w:val="6"/>
            <w:vAlign w:val="center"/>
          </w:tcPr>
          <w:p w14:paraId="1E509001" w14:textId="0FB49BFA" w:rsidR="00165EEA" w:rsidRPr="00172FDA" w:rsidRDefault="00835C8E" w:rsidP="006B5EE8">
            <w:pPr>
              <w:rPr>
                <w:color w:val="4472C4" w:themeColor="accent1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 xml:space="preserve">Staff, parents and children will be aware </w:t>
            </w:r>
            <w:r w:rsidR="005D00E0">
              <w:rPr>
                <w:color w:val="4472C4" w:themeColor="accent1"/>
                <w:sz w:val="18"/>
                <w:szCs w:val="18"/>
              </w:rPr>
              <w:t>of the music expectations in school and will be able to talk about what music looks like in Etwall Primary School.</w:t>
            </w:r>
          </w:p>
        </w:tc>
      </w:tr>
    </w:tbl>
    <w:p w14:paraId="5023141B" w14:textId="77777777" w:rsidR="0041757A" w:rsidRDefault="0041757A"/>
    <w:p w14:paraId="0B4020A7" w14:textId="77777777" w:rsidR="0041757A" w:rsidRDefault="0041757A"/>
    <w:p w14:paraId="2A1F701D" w14:textId="77777777" w:rsidR="006D2962" w:rsidRDefault="006D2962"/>
    <w:p w14:paraId="03EFCA41" w14:textId="6CE2B5C6" w:rsidR="006D2962" w:rsidRDefault="006D2962"/>
    <w:p w14:paraId="506459CD" w14:textId="77777777" w:rsidR="00165495" w:rsidRDefault="00165495"/>
    <w:p w14:paraId="62199465" w14:textId="77777777" w:rsidR="0041757A" w:rsidRDefault="0041757A"/>
    <w:tbl>
      <w:tblPr>
        <w:tblStyle w:val="TableGrid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1134"/>
        <w:gridCol w:w="1276"/>
        <w:gridCol w:w="1417"/>
        <w:gridCol w:w="1418"/>
        <w:gridCol w:w="6237"/>
      </w:tblGrid>
      <w:tr w:rsidR="0041757A" w:rsidRPr="002A75C5" w14:paraId="284356EF" w14:textId="77777777" w:rsidTr="003E7E80">
        <w:trPr>
          <w:trHeight w:val="348"/>
        </w:trPr>
        <w:tc>
          <w:tcPr>
            <w:tcW w:w="15622" w:type="dxa"/>
            <w:gridSpan w:val="7"/>
            <w:shd w:val="clear" w:color="auto" w:fill="0070C0"/>
            <w:vAlign w:val="center"/>
          </w:tcPr>
          <w:p w14:paraId="3909E38E" w14:textId="107B22F0" w:rsidR="0041757A" w:rsidRPr="002A75C5" w:rsidRDefault="00165495" w:rsidP="003E7E80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65495">
              <w:rPr>
                <w:rFonts w:cstheme="minorHAnsi"/>
                <w:b/>
                <w:sz w:val="18"/>
                <w:szCs w:val="18"/>
              </w:rPr>
              <w:lastRenderedPageBreak/>
              <w:t xml:space="preserve">1.2 </w:t>
            </w:r>
            <w:r w:rsidRPr="00165495">
              <w:t xml:space="preserve">To ensure </w:t>
            </w:r>
            <w:r w:rsidR="00AF1C34">
              <w:t>know what music looks like in EYFS, what it should look like and ensure high-quality teaching.</w:t>
            </w:r>
          </w:p>
        </w:tc>
      </w:tr>
      <w:tr w:rsidR="0041757A" w:rsidRPr="002A75C5" w14:paraId="6F5F694D" w14:textId="77777777" w:rsidTr="00165EEA">
        <w:trPr>
          <w:trHeight w:val="623"/>
        </w:trPr>
        <w:tc>
          <w:tcPr>
            <w:tcW w:w="738" w:type="dxa"/>
            <w:shd w:val="clear" w:color="auto" w:fill="0070C0"/>
            <w:vAlign w:val="center"/>
          </w:tcPr>
          <w:p w14:paraId="7EB140C8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3402" w:type="dxa"/>
            <w:shd w:val="clear" w:color="auto" w:fill="0070C0"/>
            <w:vAlign w:val="center"/>
          </w:tcPr>
          <w:p w14:paraId="2F06B1F4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1C32F1F5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Lead Person</w:t>
            </w:r>
          </w:p>
        </w:tc>
        <w:tc>
          <w:tcPr>
            <w:tcW w:w="1276" w:type="dxa"/>
            <w:shd w:val="clear" w:color="auto" w:fill="0070C0"/>
            <w:vAlign w:val="center"/>
          </w:tcPr>
          <w:p w14:paraId="643724D0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Monitored</w:t>
            </w:r>
            <w:r w:rsidRPr="002A75C5">
              <w:rPr>
                <w:rFonts w:cstheme="minorHAnsi"/>
                <w:b/>
                <w:color w:val="FFFFFF" w:themeColor="background1"/>
                <w:sz w:val="10"/>
                <w:szCs w:val="18"/>
              </w:rPr>
              <w:t xml:space="preserve"> </w:t>
            </w: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by</w:t>
            </w:r>
          </w:p>
        </w:tc>
        <w:tc>
          <w:tcPr>
            <w:tcW w:w="1417" w:type="dxa"/>
            <w:shd w:val="clear" w:color="auto" w:fill="0070C0"/>
            <w:vAlign w:val="center"/>
          </w:tcPr>
          <w:p w14:paraId="3539ED6B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Method of Monitoring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77FF136A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Resource Finance</w:t>
            </w:r>
          </w:p>
        </w:tc>
        <w:tc>
          <w:tcPr>
            <w:tcW w:w="6237" w:type="dxa"/>
            <w:shd w:val="clear" w:color="auto" w:fill="0070C0"/>
            <w:vAlign w:val="center"/>
          </w:tcPr>
          <w:p w14:paraId="59C89761" w14:textId="77777777" w:rsidR="0041757A" w:rsidRPr="002A75C5" w:rsidRDefault="0041757A" w:rsidP="003E7E8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Success Criteria Milestones/Progress</w:t>
            </w:r>
          </w:p>
        </w:tc>
      </w:tr>
      <w:tr w:rsidR="00FD03F3" w:rsidRPr="002A75C5" w14:paraId="5851004A" w14:textId="77777777" w:rsidTr="00DB5F65">
        <w:trPr>
          <w:trHeight w:val="438"/>
        </w:trPr>
        <w:tc>
          <w:tcPr>
            <w:tcW w:w="738" w:type="dxa"/>
            <w:vMerge w:val="restart"/>
            <w:shd w:val="clear" w:color="auto" w:fill="FFFFFF" w:themeFill="background1"/>
          </w:tcPr>
          <w:p w14:paraId="0DA123B1" w14:textId="77777777" w:rsidR="00FD03F3" w:rsidRPr="002A75C5" w:rsidRDefault="00FD03F3" w:rsidP="003E7E80">
            <w:pPr>
              <w:rPr>
                <w:rFonts w:cstheme="minorHAnsi"/>
                <w:sz w:val="18"/>
                <w:szCs w:val="18"/>
              </w:rPr>
            </w:pPr>
          </w:p>
          <w:p w14:paraId="6C964F70" w14:textId="7C5C5535" w:rsidR="00FD03F3" w:rsidRPr="002A75C5" w:rsidRDefault="00FD03F3" w:rsidP="003E7E80">
            <w:pPr>
              <w:rPr>
                <w:rFonts w:cstheme="minorHAnsi"/>
                <w:sz w:val="18"/>
                <w:szCs w:val="18"/>
              </w:rPr>
            </w:pPr>
            <w:r w:rsidRPr="002A75C5">
              <w:rPr>
                <w:rFonts w:cstheme="minorHAnsi"/>
                <w:sz w:val="18"/>
                <w:szCs w:val="18"/>
              </w:rPr>
              <w:t>1.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26F8E2CD" w14:textId="50A086D5" w:rsidR="00FD03F3" w:rsidRPr="00165495" w:rsidRDefault="00FD03F3" w:rsidP="003E7E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have good subject knowledge of music strands within EYFS ad the starting point for all children.</w:t>
            </w:r>
          </w:p>
        </w:tc>
        <w:tc>
          <w:tcPr>
            <w:tcW w:w="1134" w:type="dxa"/>
            <w:vMerge w:val="restart"/>
            <w:vAlign w:val="center"/>
          </w:tcPr>
          <w:p w14:paraId="159AB6FA" w14:textId="1C023D01" w:rsidR="00FD03F3" w:rsidRPr="00165495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LW</w:t>
            </w:r>
          </w:p>
        </w:tc>
        <w:tc>
          <w:tcPr>
            <w:tcW w:w="1276" w:type="dxa"/>
            <w:vMerge w:val="restart"/>
            <w:vAlign w:val="center"/>
          </w:tcPr>
          <w:p w14:paraId="5AB4BA5D" w14:textId="183E4AA1" w:rsidR="00FD03F3" w:rsidRPr="00165495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5495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03DD53C4" w14:textId="660B88C5" w:rsidR="00FD03F3" w:rsidRPr="00165495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Discussions and learning walk</w:t>
            </w:r>
          </w:p>
        </w:tc>
        <w:tc>
          <w:tcPr>
            <w:tcW w:w="1418" w:type="dxa"/>
            <w:vMerge w:val="restart"/>
            <w:vAlign w:val="center"/>
          </w:tcPr>
          <w:p w14:paraId="0A4CF57F" w14:textId="2374B519" w:rsidR="00FD03F3" w:rsidRPr="00165495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Subject leader time</w:t>
            </w:r>
          </w:p>
        </w:tc>
        <w:tc>
          <w:tcPr>
            <w:tcW w:w="6237" w:type="dxa"/>
            <w:vAlign w:val="center"/>
          </w:tcPr>
          <w:p w14:paraId="09BC4FC8" w14:textId="66121B11" w:rsidR="00FD03F3" w:rsidRPr="00165495" w:rsidRDefault="00FD03F3" w:rsidP="003E7E80">
            <w:pPr>
              <w:rPr>
                <w:rFonts w:cstheme="minorHAnsi"/>
                <w:color w:val="00B050"/>
                <w:sz w:val="18"/>
                <w:szCs w:val="18"/>
              </w:rPr>
            </w:pPr>
            <w:r>
              <w:rPr>
                <w:rFonts w:cstheme="minorHAnsi"/>
                <w:color w:val="00B050"/>
                <w:sz w:val="18"/>
                <w:szCs w:val="18"/>
              </w:rPr>
              <w:t>To discuss with the EYFS lead to find out what music should look like in an EYFS setting.</w:t>
            </w:r>
          </w:p>
        </w:tc>
      </w:tr>
      <w:tr w:rsidR="00FD03F3" w:rsidRPr="002A75C5" w14:paraId="2DF08500" w14:textId="77777777" w:rsidTr="00A06A90">
        <w:trPr>
          <w:trHeight w:val="438"/>
        </w:trPr>
        <w:tc>
          <w:tcPr>
            <w:tcW w:w="738" w:type="dxa"/>
            <w:vMerge/>
            <w:shd w:val="clear" w:color="auto" w:fill="FFFFFF" w:themeFill="background1"/>
          </w:tcPr>
          <w:p w14:paraId="27130F3C" w14:textId="77777777" w:rsidR="00FD03F3" w:rsidRPr="002A75C5" w:rsidRDefault="00FD03F3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213C2CF7" w14:textId="77777777" w:rsidR="00FD03F3" w:rsidRDefault="00FD03F3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95D41A" w14:textId="77777777" w:rsidR="00FD03F3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AF6B127" w14:textId="77777777" w:rsidR="00FD03F3" w:rsidRPr="00165495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4F6F87D" w14:textId="77777777" w:rsidR="00FD03F3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1A7ACA7" w14:textId="77777777" w:rsidR="00FD03F3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089742F6" w14:textId="6DD612DE" w:rsidR="00FD03F3" w:rsidRPr="00165495" w:rsidRDefault="00FD03F3" w:rsidP="003E7E80">
            <w:pPr>
              <w:rPr>
                <w:rFonts w:cstheme="minorHAnsi"/>
                <w:color w:val="00B050"/>
                <w:sz w:val="18"/>
                <w:szCs w:val="18"/>
              </w:rPr>
            </w:pPr>
            <w:r>
              <w:rPr>
                <w:rFonts w:cstheme="minorHAnsi"/>
                <w:color w:val="00B050"/>
                <w:sz w:val="18"/>
                <w:szCs w:val="18"/>
              </w:rPr>
              <w:t>To develop the music area within the reception classroom ensuring continuous provision is in line with Kapow’s music scheme as well as meeting the children’s needs.</w:t>
            </w:r>
          </w:p>
        </w:tc>
      </w:tr>
      <w:tr w:rsidR="00FD03F3" w:rsidRPr="002A75C5" w14:paraId="5B224DF7" w14:textId="77777777" w:rsidTr="00FD03F3">
        <w:trPr>
          <w:trHeight w:val="672"/>
        </w:trPr>
        <w:tc>
          <w:tcPr>
            <w:tcW w:w="738" w:type="dxa"/>
            <w:vMerge/>
          </w:tcPr>
          <w:p w14:paraId="308D56CC" w14:textId="77777777" w:rsidR="00FD03F3" w:rsidRPr="002A75C5" w:rsidRDefault="00FD03F3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0970416" w14:textId="59870896" w:rsidR="00FD03F3" w:rsidRPr="00165495" w:rsidRDefault="00FD03F3" w:rsidP="003E7E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monitor music learning to ensure it follows our Curriculum Overviews </w:t>
            </w:r>
          </w:p>
        </w:tc>
        <w:tc>
          <w:tcPr>
            <w:tcW w:w="1134" w:type="dxa"/>
            <w:vMerge w:val="restart"/>
            <w:vAlign w:val="center"/>
          </w:tcPr>
          <w:p w14:paraId="6A87F556" w14:textId="1EBF2BFF" w:rsidR="00FD03F3" w:rsidRPr="00165495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LW</w:t>
            </w:r>
          </w:p>
        </w:tc>
        <w:tc>
          <w:tcPr>
            <w:tcW w:w="1276" w:type="dxa"/>
            <w:vMerge w:val="restart"/>
            <w:vAlign w:val="center"/>
          </w:tcPr>
          <w:p w14:paraId="3DA3A724" w14:textId="0F813057" w:rsidR="00FD03F3" w:rsidRPr="00165495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5495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276604BE" w14:textId="59693EB2" w:rsidR="00FD03F3" w:rsidRPr="00165495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549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>ook at music evidence</w:t>
            </w:r>
            <w:r w:rsidRPr="0016549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43404284" w14:textId="1E9DD9A5" w:rsidR="00FD03F3" w:rsidRPr="00165495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Subject leader time</w:t>
            </w:r>
          </w:p>
        </w:tc>
        <w:tc>
          <w:tcPr>
            <w:tcW w:w="6237" w:type="dxa"/>
            <w:vAlign w:val="center"/>
          </w:tcPr>
          <w:p w14:paraId="5D02CC75" w14:textId="07F3CFC2" w:rsidR="00FD03F3" w:rsidRPr="0064487E" w:rsidRDefault="00FD03F3" w:rsidP="003E7E80">
            <w:pPr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 xml:space="preserve">To look at </w:t>
            </w:r>
            <w:r w:rsidR="00C12032">
              <w:rPr>
                <w:color w:val="ED7D31" w:themeColor="accent2"/>
                <w:sz w:val="18"/>
                <w:szCs w:val="18"/>
              </w:rPr>
              <w:t>how EYFS plans music using the curriculum overviews and resources.</w:t>
            </w:r>
          </w:p>
        </w:tc>
      </w:tr>
      <w:tr w:rsidR="00FD03F3" w:rsidRPr="002A75C5" w14:paraId="32DC167D" w14:textId="77777777" w:rsidTr="00EF0C22">
        <w:trPr>
          <w:trHeight w:val="672"/>
        </w:trPr>
        <w:tc>
          <w:tcPr>
            <w:tcW w:w="738" w:type="dxa"/>
            <w:vMerge/>
          </w:tcPr>
          <w:p w14:paraId="13189A2C" w14:textId="77777777" w:rsidR="00FD03F3" w:rsidRPr="002A75C5" w:rsidRDefault="00FD03F3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1DF53A4" w14:textId="77777777" w:rsidR="00FD03F3" w:rsidRDefault="00FD03F3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F988342" w14:textId="77777777" w:rsidR="00FD03F3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8F05C28" w14:textId="77777777" w:rsidR="00FD03F3" w:rsidRPr="00165495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80C5AED" w14:textId="77777777" w:rsidR="00FD03F3" w:rsidRPr="00165495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D08FB42" w14:textId="77777777" w:rsidR="00FD03F3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6C9BDF8D" w14:textId="1F39EFFC" w:rsidR="00FD03F3" w:rsidRPr="0064487E" w:rsidRDefault="00C12032" w:rsidP="003E7E80">
            <w:pPr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To collect evidence of music work.</w:t>
            </w:r>
          </w:p>
        </w:tc>
      </w:tr>
      <w:tr w:rsidR="00FD03F3" w:rsidRPr="002A75C5" w14:paraId="7040B795" w14:textId="77777777" w:rsidTr="00165EEA">
        <w:trPr>
          <w:trHeight w:val="461"/>
        </w:trPr>
        <w:tc>
          <w:tcPr>
            <w:tcW w:w="738" w:type="dxa"/>
            <w:vMerge/>
          </w:tcPr>
          <w:p w14:paraId="30DCCCAD" w14:textId="77777777" w:rsidR="00FD03F3" w:rsidRPr="002A75C5" w:rsidRDefault="00FD03F3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34BE543E" w14:textId="2707AB22" w:rsidR="00FD03F3" w:rsidRPr="00165495" w:rsidRDefault="00FD03F3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7A650E0" w14:textId="6A612223" w:rsidR="00FD03F3" w:rsidRPr="007A46D0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C88C6F8" w14:textId="3106BBD8" w:rsidR="00FD03F3" w:rsidRPr="007A46D0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8F5A51" w14:textId="34AECD4C" w:rsidR="00FD03F3" w:rsidRPr="007A46D0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BECA3FB" w14:textId="797C6800" w:rsidR="00FD03F3" w:rsidRPr="007A46D0" w:rsidRDefault="00FD03F3" w:rsidP="003E7E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47530421" w14:textId="6C3CF47E" w:rsidR="00FD03F3" w:rsidRPr="007A46D0" w:rsidRDefault="00FD03F3" w:rsidP="003E7E80">
            <w:pPr>
              <w:rPr>
                <w:rFonts w:cstheme="minorHAnsi"/>
                <w:color w:val="FFC000" w:themeColor="accent4"/>
                <w:sz w:val="18"/>
                <w:szCs w:val="18"/>
              </w:rPr>
            </w:pPr>
          </w:p>
        </w:tc>
      </w:tr>
      <w:tr w:rsidR="00FD03F3" w:rsidRPr="002A75C5" w14:paraId="30AEBA17" w14:textId="77777777" w:rsidTr="00165EEA">
        <w:trPr>
          <w:trHeight w:val="260"/>
        </w:trPr>
        <w:tc>
          <w:tcPr>
            <w:tcW w:w="738" w:type="dxa"/>
            <w:vMerge/>
          </w:tcPr>
          <w:p w14:paraId="36AF6883" w14:textId="77777777" w:rsidR="00FD03F3" w:rsidRPr="002A75C5" w:rsidRDefault="00FD03F3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4C529ED" w14:textId="77777777" w:rsidR="00FD03F3" w:rsidRPr="001E3A8D" w:rsidRDefault="00FD03F3" w:rsidP="003E7E80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0157D6" w14:textId="77777777" w:rsidR="00FD03F3" w:rsidRPr="001E3A8D" w:rsidRDefault="00FD03F3" w:rsidP="003E7E80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691E7B2" w14:textId="77777777" w:rsidR="00FD03F3" w:rsidRPr="001E3A8D" w:rsidRDefault="00FD03F3" w:rsidP="003E7E80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26770CE" w14:textId="77777777" w:rsidR="00FD03F3" w:rsidRPr="001E3A8D" w:rsidRDefault="00FD03F3" w:rsidP="003E7E80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CBEED82" w14:textId="77777777" w:rsidR="00FD03F3" w:rsidRPr="001E3A8D" w:rsidRDefault="00FD03F3" w:rsidP="003E7E80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188F9357" w14:textId="2B677C4C" w:rsidR="00FD03F3" w:rsidRPr="007A46D0" w:rsidRDefault="00FD03F3" w:rsidP="003E7E80">
            <w:pPr>
              <w:rPr>
                <w:rFonts w:cstheme="minorHAnsi"/>
                <w:color w:val="70AD47" w:themeColor="accent6"/>
                <w:sz w:val="18"/>
                <w:szCs w:val="18"/>
              </w:rPr>
            </w:pPr>
          </w:p>
        </w:tc>
      </w:tr>
      <w:tr w:rsidR="00FD03F3" w:rsidRPr="002A75C5" w14:paraId="3AD4B46A" w14:textId="77777777" w:rsidTr="00165EEA">
        <w:trPr>
          <w:trHeight w:val="259"/>
        </w:trPr>
        <w:tc>
          <w:tcPr>
            <w:tcW w:w="738" w:type="dxa"/>
            <w:vMerge/>
          </w:tcPr>
          <w:p w14:paraId="6E36661F" w14:textId="77777777" w:rsidR="00FD03F3" w:rsidRPr="002A75C5" w:rsidRDefault="00FD03F3" w:rsidP="003E7E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8645DC7" w14:textId="77777777" w:rsidR="00FD03F3" w:rsidRPr="001E3A8D" w:rsidRDefault="00FD03F3" w:rsidP="003E7E80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5E58C4" w14:textId="77777777" w:rsidR="00FD03F3" w:rsidRPr="001E3A8D" w:rsidRDefault="00FD03F3" w:rsidP="003E7E80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EBF9A1" w14:textId="77777777" w:rsidR="00FD03F3" w:rsidRPr="001E3A8D" w:rsidRDefault="00FD03F3" w:rsidP="003E7E80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C6C2CD5" w14:textId="77777777" w:rsidR="00FD03F3" w:rsidRPr="001E3A8D" w:rsidRDefault="00FD03F3" w:rsidP="003E7E80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09E88E4" w14:textId="77777777" w:rsidR="00FD03F3" w:rsidRPr="001E3A8D" w:rsidRDefault="00FD03F3" w:rsidP="003E7E80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5D586A6C" w14:textId="3C183272" w:rsidR="00FD03F3" w:rsidRPr="007A46D0" w:rsidRDefault="00FD03F3" w:rsidP="003E7E80">
            <w:pPr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</w:tr>
      <w:tr w:rsidR="00165EEA" w:rsidRPr="002A75C5" w14:paraId="68600754" w14:textId="77777777" w:rsidTr="00165EEA">
        <w:trPr>
          <w:trHeight w:val="1378"/>
        </w:trPr>
        <w:tc>
          <w:tcPr>
            <w:tcW w:w="738" w:type="dxa"/>
          </w:tcPr>
          <w:p w14:paraId="734EB6E3" w14:textId="39C86672" w:rsidR="00165EEA" w:rsidRPr="002A75C5" w:rsidRDefault="00165EEA" w:rsidP="003E7E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Impact</w:t>
            </w:r>
          </w:p>
        </w:tc>
        <w:tc>
          <w:tcPr>
            <w:tcW w:w="14884" w:type="dxa"/>
            <w:gridSpan w:val="6"/>
            <w:vAlign w:val="center"/>
          </w:tcPr>
          <w:p w14:paraId="005F7033" w14:textId="37218908" w:rsidR="00165EEA" w:rsidRPr="00177766" w:rsidRDefault="00C12032" w:rsidP="003E7E80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 xml:space="preserve">I will have a much greater understanding of music </w:t>
            </w:r>
            <w:r w:rsidR="00857C51">
              <w:rPr>
                <w:rFonts w:cstheme="minorHAnsi"/>
                <w:color w:val="8EAADB" w:themeColor="accent1" w:themeTint="99"/>
                <w:sz w:val="18"/>
                <w:szCs w:val="18"/>
              </w:rPr>
              <w:t>and how it sits within the EYFS curriculum and therefore will deliver high quality teaching.</w:t>
            </w:r>
          </w:p>
        </w:tc>
      </w:tr>
    </w:tbl>
    <w:p w14:paraId="508C98E9" w14:textId="77777777" w:rsidR="0041757A" w:rsidRDefault="0041757A"/>
    <w:p w14:paraId="1A6A6F59" w14:textId="77777777" w:rsidR="00D24CA4" w:rsidRDefault="00D24CA4" w:rsidP="00D24CA4"/>
    <w:p w14:paraId="02B453C9" w14:textId="0FF03515" w:rsidR="6FEA89F8" w:rsidRDefault="6FEA89F8" w:rsidP="6FEA89F8"/>
    <w:p w14:paraId="5B5B16F7" w14:textId="7FCB8877" w:rsidR="6FEA89F8" w:rsidRDefault="6FEA89F8" w:rsidP="6FEA89F8"/>
    <w:p w14:paraId="7095D7DC" w14:textId="4A54EF55" w:rsidR="6FEA89F8" w:rsidRDefault="6FEA89F8" w:rsidP="6FEA89F8"/>
    <w:p w14:paraId="78A54B75" w14:textId="03708994" w:rsidR="6FEA89F8" w:rsidRDefault="6FEA89F8" w:rsidP="6FEA89F8"/>
    <w:p w14:paraId="0BDA7C6D" w14:textId="008B7227" w:rsidR="6FEA89F8" w:rsidRDefault="6FEA89F8" w:rsidP="6FEA89F8"/>
    <w:p w14:paraId="2F77F95B" w14:textId="6433E2CB" w:rsidR="6FEA89F8" w:rsidRDefault="6FEA89F8" w:rsidP="6FEA89F8"/>
    <w:p w14:paraId="6CE40BBA" w14:textId="5295C265" w:rsidR="6FEA89F8" w:rsidRDefault="6FEA89F8" w:rsidP="6FEA89F8"/>
    <w:p w14:paraId="1E604C28" w14:textId="45973F10" w:rsidR="6FEA89F8" w:rsidRDefault="6FEA89F8" w:rsidP="6FEA89F8"/>
    <w:p w14:paraId="0A108061" w14:textId="63358E24" w:rsidR="6FEA89F8" w:rsidRDefault="6FEA89F8" w:rsidP="6FEA89F8"/>
    <w:p w14:paraId="0A2F2AA3" w14:textId="1E1A2E6D" w:rsidR="6FEA89F8" w:rsidRDefault="6FEA89F8" w:rsidP="6FEA89F8"/>
    <w:p w14:paraId="2E71D86A" w14:textId="587F95DD" w:rsidR="6FEA89F8" w:rsidRDefault="6FEA89F8" w:rsidP="6FEA89F8"/>
    <w:p w14:paraId="1BAAED92" w14:textId="2203C348" w:rsidR="6FEA89F8" w:rsidRDefault="6FEA89F8" w:rsidP="6FEA89F8"/>
    <w:p w14:paraId="67B23435" w14:textId="0D5EAEC9" w:rsidR="6FEA89F8" w:rsidRDefault="6FEA89F8" w:rsidP="6FEA89F8"/>
    <w:p w14:paraId="0D1E96FF" w14:textId="543F72DC" w:rsidR="6FEA89F8" w:rsidRDefault="6FEA89F8" w:rsidP="6FEA89F8"/>
    <w:p w14:paraId="7182AE6D" w14:textId="6F8C3E78" w:rsidR="6FEA89F8" w:rsidRDefault="6FEA89F8" w:rsidP="6FEA89F8"/>
    <w:tbl>
      <w:tblPr>
        <w:tblStyle w:val="TableGrid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1134"/>
        <w:gridCol w:w="1276"/>
        <w:gridCol w:w="1417"/>
        <w:gridCol w:w="1418"/>
        <w:gridCol w:w="6237"/>
      </w:tblGrid>
      <w:tr w:rsidR="00165495" w:rsidRPr="002A75C5" w14:paraId="749AB5F0" w14:textId="77777777" w:rsidTr="000B3A8E">
        <w:trPr>
          <w:trHeight w:val="348"/>
        </w:trPr>
        <w:tc>
          <w:tcPr>
            <w:tcW w:w="15622" w:type="dxa"/>
            <w:gridSpan w:val="7"/>
            <w:shd w:val="clear" w:color="auto" w:fill="0070C0"/>
            <w:vAlign w:val="center"/>
          </w:tcPr>
          <w:p w14:paraId="003E644E" w14:textId="5F714A08" w:rsidR="00165495" w:rsidRPr="002A75C5" w:rsidRDefault="00165495" w:rsidP="00165495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lastRenderedPageBreak/>
              <w:t xml:space="preserve">1.3 To ensure </w:t>
            </w:r>
            <w:r w:rsidR="001B17CA">
              <w:t>con</w:t>
            </w:r>
            <w:r w:rsidR="00CA455E">
              <w:t>sistency of teaching and learning throughout the school, as well as evidence of learning</w:t>
            </w:r>
            <w:r w:rsidR="004C0621">
              <w:t>.</w:t>
            </w:r>
            <w:r>
              <w:t xml:space="preserve"> </w:t>
            </w:r>
          </w:p>
        </w:tc>
      </w:tr>
      <w:tr w:rsidR="00165495" w:rsidRPr="002A75C5" w14:paraId="05FEF7E7" w14:textId="77777777" w:rsidTr="00165EEA">
        <w:trPr>
          <w:trHeight w:val="623"/>
        </w:trPr>
        <w:tc>
          <w:tcPr>
            <w:tcW w:w="738" w:type="dxa"/>
            <w:shd w:val="clear" w:color="auto" w:fill="0070C0"/>
            <w:vAlign w:val="center"/>
          </w:tcPr>
          <w:p w14:paraId="6E429B77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3402" w:type="dxa"/>
            <w:shd w:val="clear" w:color="auto" w:fill="0070C0"/>
            <w:vAlign w:val="center"/>
          </w:tcPr>
          <w:p w14:paraId="0C532662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6CF444B5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Lead Person</w:t>
            </w:r>
          </w:p>
        </w:tc>
        <w:tc>
          <w:tcPr>
            <w:tcW w:w="1276" w:type="dxa"/>
            <w:shd w:val="clear" w:color="auto" w:fill="0070C0"/>
            <w:vAlign w:val="center"/>
          </w:tcPr>
          <w:p w14:paraId="71FCBC0D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Monitored</w:t>
            </w:r>
            <w:r w:rsidRPr="002A75C5">
              <w:rPr>
                <w:rFonts w:cstheme="minorHAnsi"/>
                <w:b/>
                <w:color w:val="FFFFFF" w:themeColor="background1"/>
                <w:sz w:val="10"/>
                <w:szCs w:val="18"/>
              </w:rPr>
              <w:t xml:space="preserve"> </w:t>
            </w:r>
            <w:r w:rsidRPr="002A75C5">
              <w:rPr>
                <w:rFonts w:cstheme="minorHAnsi"/>
                <w:b/>
                <w:color w:val="FFFFFF" w:themeColor="background1"/>
                <w:sz w:val="12"/>
                <w:szCs w:val="18"/>
              </w:rPr>
              <w:t>by</w:t>
            </w:r>
          </w:p>
        </w:tc>
        <w:tc>
          <w:tcPr>
            <w:tcW w:w="1417" w:type="dxa"/>
            <w:shd w:val="clear" w:color="auto" w:fill="0070C0"/>
            <w:vAlign w:val="center"/>
          </w:tcPr>
          <w:p w14:paraId="07C738EF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Method of Monitoring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00DFE632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Resource Finance</w:t>
            </w:r>
          </w:p>
        </w:tc>
        <w:tc>
          <w:tcPr>
            <w:tcW w:w="6237" w:type="dxa"/>
            <w:shd w:val="clear" w:color="auto" w:fill="0070C0"/>
            <w:vAlign w:val="center"/>
          </w:tcPr>
          <w:p w14:paraId="288EB693" w14:textId="77777777" w:rsidR="00165495" w:rsidRPr="002A75C5" w:rsidRDefault="00165495" w:rsidP="00165495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A75C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Success Criteria Milestones/Progress</w:t>
            </w:r>
          </w:p>
        </w:tc>
      </w:tr>
      <w:tr w:rsidR="005C477B" w:rsidRPr="002A75C5" w14:paraId="74B427DF" w14:textId="77777777" w:rsidTr="00165EEA">
        <w:trPr>
          <w:trHeight w:val="339"/>
        </w:trPr>
        <w:tc>
          <w:tcPr>
            <w:tcW w:w="738" w:type="dxa"/>
            <w:vMerge w:val="restart"/>
            <w:shd w:val="clear" w:color="auto" w:fill="FFFFFF" w:themeFill="background1"/>
          </w:tcPr>
          <w:p w14:paraId="2179175F" w14:textId="77777777" w:rsidR="005C477B" w:rsidRPr="002A75C5" w:rsidRDefault="005C477B" w:rsidP="00165495">
            <w:pPr>
              <w:rPr>
                <w:rFonts w:cstheme="minorHAnsi"/>
                <w:sz w:val="18"/>
                <w:szCs w:val="18"/>
              </w:rPr>
            </w:pPr>
          </w:p>
          <w:p w14:paraId="3D826D6B" w14:textId="464C7DBC" w:rsidR="005C477B" w:rsidRPr="002A75C5" w:rsidRDefault="005C477B" w:rsidP="00165495">
            <w:pPr>
              <w:rPr>
                <w:rFonts w:cstheme="minorHAnsi"/>
                <w:sz w:val="18"/>
                <w:szCs w:val="18"/>
              </w:rPr>
            </w:pPr>
            <w:r w:rsidRPr="002A75C5">
              <w:rPr>
                <w:rFonts w:cstheme="minorHAnsi"/>
                <w:sz w:val="18"/>
                <w:szCs w:val="18"/>
              </w:rPr>
              <w:t>1.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4FAC7228" w14:textId="2929C56F" w:rsidR="005C477B" w:rsidRPr="007A46D0" w:rsidRDefault="005C477B" w:rsidP="001654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monitor how music is taught using resources (curriculum overviews, knowledge organisers, instruments and other resources) </w:t>
            </w:r>
          </w:p>
        </w:tc>
        <w:tc>
          <w:tcPr>
            <w:tcW w:w="1134" w:type="dxa"/>
            <w:vMerge w:val="restart"/>
            <w:vAlign w:val="center"/>
          </w:tcPr>
          <w:p w14:paraId="25A4473E" w14:textId="03FEE1D5" w:rsidR="005C477B" w:rsidRPr="007A46D0" w:rsidRDefault="005C477B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LW</w:t>
            </w:r>
          </w:p>
        </w:tc>
        <w:tc>
          <w:tcPr>
            <w:tcW w:w="1276" w:type="dxa"/>
            <w:vMerge w:val="restart"/>
            <w:vAlign w:val="center"/>
          </w:tcPr>
          <w:p w14:paraId="2A4DDFC7" w14:textId="1A139416" w:rsidR="005C477B" w:rsidRPr="007A46D0" w:rsidRDefault="005C477B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46D0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088EAF5C" w14:textId="329BB645" w:rsidR="005C477B" w:rsidRPr="007A46D0" w:rsidRDefault="005C477B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Learning walks</w:t>
            </w:r>
          </w:p>
        </w:tc>
        <w:tc>
          <w:tcPr>
            <w:tcW w:w="1418" w:type="dxa"/>
            <w:vMerge w:val="restart"/>
            <w:vAlign w:val="center"/>
          </w:tcPr>
          <w:p w14:paraId="64EA1CA2" w14:textId="6DBE32FE" w:rsidR="005C477B" w:rsidRPr="007A46D0" w:rsidRDefault="005C477B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Subject leader time to observe.</w:t>
            </w:r>
          </w:p>
        </w:tc>
        <w:tc>
          <w:tcPr>
            <w:tcW w:w="6237" w:type="dxa"/>
            <w:vAlign w:val="center"/>
          </w:tcPr>
          <w:p w14:paraId="0459663F" w14:textId="11D22B40" w:rsidR="005C477B" w:rsidRPr="001E3A8D" w:rsidRDefault="005C477B" w:rsidP="00165495">
            <w:pPr>
              <w:rPr>
                <w:rFonts w:cstheme="minorHAnsi"/>
                <w:color w:val="FF6600"/>
                <w:sz w:val="18"/>
                <w:szCs w:val="18"/>
              </w:rPr>
            </w:pPr>
            <w:r>
              <w:rPr>
                <w:rFonts w:cstheme="minorHAnsi"/>
                <w:color w:val="FF6600"/>
                <w:sz w:val="18"/>
                <w:szCs w:val="18"/>
              </w:rPr>
              <w:t>To look at planning from each key stage to see if these resources are being used.</w:t>
            </w:r>
          </w:p>
        </w:tc>
      </w:tr>
      <w:tr w:rsidR="005C477B" w:rsidRPr="002A75C5" w14:paraId="49DA0DCE" w14:textId="77777777" w:rsidTr="00165EEA">
        <w:trPr>
          <w:trHeight w:val="522"/>
        </w:trPr>
        <w:tc>
          <w:tcPr>
            <w:tcW w:w="738" w:type="dxa"/>
            <w:vMerge/>
          </w:tcPr>
          <w:p w14:paraId="3E6A7D90" w14:textId="77777777" w:rsidR="005C477B" w:rsidRPr="002A75C5" w:rsidRDefault="005C477B" w:rsidP="001654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165FD85A" w14:textId="77777777" w:rsidR="005C477B" w:rsidRPr="001E3A8D" w:rsidRDefault="005C477B" w:rsidP="00165495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5FBC2C5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6BE3BF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40CEAAF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E93FC4F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0E436082" w14:textId="22B2B161" w:rsidR="005C477B" w:rsidRPr="007A46D0" w:rsidRDefault="005C477B" w:rsidP="00165495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To conduct learning walks of each key stage to monitor this.</w:t>
            </w:r>
          </w:p>
        </w:tc>
      </w:tr>
      <w:tr w:rsidR="005C477B" w:rsidRPr="002A75C5" w14:paraId="20CF1E0E" w14:textId="77777777" w:rsidTr="00165EEA">
        <w:trPr>
          <w:trHeight w:val="443"/>
        </w:trPr>
        <w:tc>
          <w:tcPr>
            <w:tcW w:w="738" w:type="dxa"/>
            <w:vMerge/>
          </w:tcPr>
          <w:p w14:paraId="4D50629D" w14:textId="77777777" w:rsidR="005C477B" w:rsidRPr="002A75C5" w:rsidRDefault="005C477B" w:rsidP="001654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1FE40584" w14:textId="5466B10C" w:rsidR="005C477B" w:rsidRPr="007A46D0" w:rsidRDefault="005C477B" w:rsidP="001654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introduce the use of music journals or floor books for evidencing music lessons  </w:t>
            </w:r>
          </w:p>
        </w:tc>
        <w:tc>
          <w:tcPr>
            <w:tcW w:w="1134" w:type="dxa"/>
            <w:vMerge w:val="restart"/>
            <w:vAlign w:val="center"/>
          </w:tcPr>
          <w:p w14:paraId="3CCD16FA" w14:textId="77777777" w:rsidR="005C477B" w:rsidRDefault="005C477B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LW </w:t>
            </w:r>
          </w:p>
          <w:p w14:paraId="1261FF15" w14:textId="77777777" w:rsidR="005C477B" w:rsidRDefault="005C477B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+ </w:t>
            </w:r>
          </w:p>
          <w:p w14:paraId="09B462B0" w14:textId="7E3F6341" w:rsidR="005C477B" w:rsidRPr="007A46D0" w:rsidRDefault="005C477B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MP</w:t>
            </w:r>
          </w:p>
        </w:tc>
        <w:tc>
          <w:tcPr>
            <w:tcW w:w="1276" w:type="dxa"/>
            <w:vMerge w:val="restart"/>
            <w:vAlign w:val="center"/>
          </w:tcPr>
          <w:p w14:paraId="683AA339" w14:textId="169725CD" w:rsidR="005C477B" w:rsidRPr="007A46D0" w:rsidRDefault="005C477B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46D0"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2C949EC5" w14:textId="23B631AC" w:rsidR="005C477B" w:rsidRPr="007A46D0" w:rsidRDefault="005C477B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46D0">
              <w:rPr>
                <w:rFonts w:cstheme="minorHAnsi"/>
                <w:sz w:val="18"/>
                <w:szCs w:val="18"/>
              </w:rPr>
              <w:t>Bo</w:t>
            </w:r>
            <w:r>
              <w:rPr>
                <w:rFonts w:cstheme="minorHAnsi"/>
                <w:sz w:val="18"/>
                <w:szCs w:val="18"/>
              </w:rPr>
              <w:t>ok looks</w:t>
            </w:r>
          </w:p>
        </w:tc>
        <w:tc>
          <w:tcPr>
            <w:tcW w:w="1418" w:type="dxa"/>
            <w:vMerge w:val="restart"/>
            <w:vAlign w:val="center"/>
          </w:tcPr>
          <w:p w14:paraId="5C9BB5F8" w14:textId="7995D756" w:rsidR="005C477B" w:rsidRPr="000B2912" w:rsidRDefault="005C477B" w:rsidP="00165495">
            <w:pPr>
              <w:jc w:val="center"/>
              <w:rPr>
                <w:rFonts w:cstheme="minorHAnsi"/>
                <w:color w:val="00B050"/>
                <w:sz w:val="18"/>
                <w:szCs w:val="18"/>
              </w:rPr>
            </w:pPr>
            <w:r w:rsidRPr="007A46D0">
              <w:rPr>
                <w:rFonts w:cstheme="minorHAnsi"/>
                <w:sz w:val="18"/>
                <w:szCs w:val="18"/>
              </w:rPr>
              <w:t>Subject lead time.</w:t>
            </w:r>
          </w:p>
        </w:tc>
        <w:tc>
          <w:tcPr>
            <w:tcW w:w="6237" w:type="dxa"/>
            <w:vAlign w:val="center"/>
          </w:tcPr>
          <w:p w14:paraId="5CA0D318" w14:textId="654480D2" w:rsidR="005C477B" w:rsidRPr="007A46D0" w:rsidRDefault="005C477B" w:rsidP="00165495">
            <w:pPr>
              <w:rPr>
                <w:color w:val="FFC000"/>
                <w:sz w:val="18"/>
                <w:szCs w:val="18"/>
              </w:rPr>
            </w:pPr>
            <w:r>
              <w:rPr>
                <w:color w:val="FFC000"/>
                <w:sz w:val="18"/>
                <w:szCs w:val="18"/>
              </w:rPr>
              <w:t>To consult with Mike Prescott (trust network music) on the use of floor books / journals.</w:t>
            </w:r>
          </w:p>
        </w:tc>
      </w:tr>
      <w:tr w:rsidR="005C477B" w:rsidRPr="002A75C5" w14:paraId="375A3B19" w14:textId="77777777" w:rsidTr="00165EEA">
        <w:trPr>
          <w:trHeight w:val="442"/>
        </w:trPr>
        <w:tc>
          <w:tcPr>
            <w:tcW w:w="738" w:type="dxa"/>
            <w:vMerge/>
          </w:tcPr>
          <w:p w14:paraId="44C0CCDD" w14:textId="77777777" w:rsidR="005C477B" w:rsidRPr="002A75C5" w:rsidRDefault="005C477B" w:rsidP="001654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33800298" w14:textId="77777777" w:rsidR="005C477B" w:rsidRPr="001E3A8D" w:rsidRDefault="005C477B" w:rsidP="00165495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F03F8F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BC32F96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A0550C6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8F8C07B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39FCEE99" w14:textId="4F2868A8" w:rsidR="005C477B" w:rsidRPr="000B2912" w:rsidRDefault="005C477B" w:rsidP="00165495">
            <w:pPr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To model an example floor book / journal to staff for staff to trial using themselves.</w:t>
            </w:r>
          </w:p>
        </w:tc>
      </w:tr>
      <w:tr w:rsidR="005C477B" w:rsidRPr="002A75C5" w14:paraId="3ADFE4BA" w14:textId="77777777" w:rsidTr="00165EEA">
        <w:trPr>
          <w:trHeight w:val="442"/>
        </w:trPr>
        <w:tc>
          <w:tcPr>
            <w:tcW w:w="738" w:type="dxa"/>
            <w:vMerge/>
          </w:tcPr>
          <w:p w14:paraId="7CC957BB" w14:textId="77777777" w:rsidR="005C477B" w:rsidRPr="002A75C5" w:rsidRDefault="005C477B" w:rsidP="001654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33797FE" w14:textId="77777777" w:rsidR="005C477B" w:rsidRPr="001E3A8D" w:rsidRDefault="005C477B" w:rsidP="00165495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6CEDD3E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90A5191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BE7EA70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B199E75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30E0CB31" w14:textId="4B7B0091" w:rsidR="005C477B" w:rsidRPr="007A46D0" w:rsidRDefault="005C477B" w:rsidP="00165495">
            <w:pPr>
              <w:rPr>
                <w:color w:val="4472C4" w:themeColor="accent1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>To look at all floor books to ensure consistency.</w:t>
            </w:r>
          </w:p>
        </w:tc>
      </w:tr>
      <w:tr w:rsidR="005C477B" w:rsidRPr="002A75C5" w14:paraId="352BB698" w14:textId="77777777" w:rsidTr="00165EEA">
        <w:trPr>
          <w:trHeight w:val="461"/>
        </w:trPr>
        <w:tc>
          <w:tcPr>
            <w:tcW w:w="738" w:type="dxa"/>
            <w:vMerge/>
          </w:tcPr>
          <w:p w14:paraId="1B9A0DEB" w14:textId="77777777" w:rsidR="005C477B" w:rsidRPr="002A75C5" w:rsidRDefault="005C477B" w:rsidP="001654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0014B010" w14:textId="5C715CDB" w:rsidR="005C477B" w:rsidRPr="007A46D0" w:rsidRDefault="005C477B" w:rsidP="001654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develop the use of vocabulary within music lessons</w:t>
            </w:r>
          </w:p>
        </w:tc>
        <w:tc>
          <w:tcPr>
            <w:tcW w:w="1134" w:type="dxa"/>
            <w:vMerge w:val="restart"/>
            <w:vAlign w:val="center"/>
          </w:tcPr>
          <w:p w14:paraId="34B3186D" w14:textId="2D304826" w:rsidR="005C477B" w:rsidRPr="0064487E" w:rsidRDefault="005C477B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LW</w:t>
            </w:r>
          </w:p>
        </w:tc>
        <w:tc>
          <w:tcPr>
            <w:tcW w:w="1276" w:type="dxa"/>
            <w:vMerge w:val="restart"/>
            <w:vAlign w:val="center"/>
          </w:tcPr>
          <w:p w14:paraId="55BCD36E" w14:textId="74CDC8B7" w:rsidR="005C477B" w:rsidRPr="0064487E" w:rsidRDefault="005C477B" w:rsidP="0016549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48081587" w14:textId="511DC87F" w:rsidR="005C477B" w:rsidRPr="00177766" w:rsidRDefault="005C477B" w:rsidP="00165495">
            <w:pPr>
              <w:jc w:val="center"/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>Learning walks</w:t>
            </w:r>
          </w:p>
        </w:tc>
        <w:tc>
          <w:tcPr>
            <w:tcW w:w="1418" w:type="dxa"/>
            <w:vMerge w:val="restart"/>
            <w:vAlign w:val="center"/>
          </w:tcPr>
          <w:p w14:paraId="792EAB77" w14:textId="48D199AF" w:rsidR="005C477B" w:rsidRPr="00177766" w:rsidRDefault="005C477B" w:rsidP="00165495">
            <w:pPr>
              <w:jc w:val="center"/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0E74E2C1" w14:textId="274DE69A" w:rsidR="005C477B" w:rsidRPr="00177766" w:rsidRDefault="00D22B8C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>To look at the updated Kapow vocabulary list and use this to update our school vocabulary progression map</w:t>
            </w:r>
            <w:r w:rsidR="004929FA">
              <w:rPr>
                <w:rFonts w:cstheme="minorHAnsi"/>
                <w:color w:val="8EAADB" w:themeColor="accent1" w:themeTint="99"/>
                <w:sz w:val="18"/>
                <w:szCs w:val="18"/>
              </w:rPr>
              <w:t>.</w:t>
            </w:r>
          </w:p>
        </w:tc>
      </w:tr>
      <w:tr w:rsidR="005C477B" w:rsidRPr="002A75C5" w14:paraId="431CFC7A" w14:textId="77777777" w:rsidTr="002E6B63">
        <w:trPr>
          <w:trHeight w:val="529"/>
        </w:trPr>
        <w:tc>
          <w:tcPr>
            <w:tcW w:w="738" w:type="dxa"/>
            <w:vMerge/>
          </w:tcPr>
          <w:p w14:paraId="6908ACB3" w14:textId="77777777" w:rsidR="005C477B" w:rsidRPr="002A75C5" w:rsidRDefault="005C477B" w:rsidP="001654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0CD633CF" w14:textId="77777777" w:rsidR="005C477B" w:rsidRPr="001E3A8D" w:rsidRDefault="005C477B" w:rsidP="00165495">
            <w:pPr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08E4B71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DF0ED37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EC9358A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817D1D0" w14:textId="77777777" w:rsidR="005C477B" w:rsidRPr="001E3A8D" w:rsidRDefault="005C477B" w:rsidP="00165495">
            <w:pPr>
              <w:jc w:val="center"/>
              <w:rPr>
                <w:rFonts w:cstheme="minorHAnsi"/>
                <w:color w:val="FF6600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74D8FADE" w14:textId="20EC7B8E" w:rsidR="005C477B" w:rsidRPr="0064487E" w:rsidRDefault="004929FA" w:rsidP="00165495">
            <w:pPr>
              <w:rPr>
                <w:rFonts w:cstheme="minorHAnsi"/>
                <w:color w:val="ED7D31" w:themeColor="accent2"/>
                <w:sz w:val="18"/>
                <w:szCs w:val="18"/>
              </w:rPr>
            </w:pPr>
            <w:r>
              <w:rPr>
                <w:rFonts w:cstheme="minorHAnsi"/>
                <w:color w:val="ED7D31" w:themeColor="accent2"/>
                <w:sz w:val="18"/>
                <w:szCs w:val="18"/>
              </w:rPr>
              <w:t xml:space="preserve">To ensure staff have and are using resources to help ensure vocabulary is a key part </w:t>
            </w:r>
            <w:r w:rsidR="00A174C6">
              <w:rPr>
                <w:rFonts w:cstheme="minorHAnsi"/>
                <w:color w:val="ED7D31" w:themeColor="accent2"/>
                <w:sz w:val="18"/>
                <w:szCs w:val="18"/>
              </w:rPr>
              <w:t>of music lessons.</w:t>
            </w:r>
          </w:p>
        </w:tc>
      </w:tr>
      <w:tr w:rsidR="005C477B" w:rsidRPr="002A75C5" w14:paraId="1CEDBC3F" w14:textId="77777777" w:rsidTr="005C477B">
        <w:trPr>
          <w:trHeight w:val="348"/>
        </w:trPr>
        <w:tc>
          <w:tcPr>
            <w:tcW w:w="738" w:type="dxa"/>
            <w:vMerge/>
          </w:tcPr>
          <w:p w14:paraId="0ABA02CB" w14:textId="77777777" w:rsidR="005C477B" w:rsidRDefault="005C477B" w:rsidP="001654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B28079A" w14:textId="04DDC012" w:rsidR="005C477B" w:rsidRPr="00177766" w:rsidRDefault="00A174C6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>To ensure there are opportunities for wider experiences</w:t>
            </w:r>
          </w:p>
        </w:tc>
        <w:tc>
          <w:tcPr>
            <w:tcW w:w="1134" w:type="dxa"/>
            <w:vMerge w:val="restart"/>
            <w:vAlign w:val="center"/>
          </w:tcPr>
          <w:p w14:paraId="09B87B1C" w14:textId="010FBFDB" w:rsidR="005C477B" w:rsidRPr="00177766" w:rsidRDefault="00A174C6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>LW</w:t>
            </w:r>
          </w:p>
        </w:tc>
        <w:tc>
          <w:tcPr>
            <w:tcW w:w="1276" w:type="dxa"/>
            <w:vMerge w:val="restart"/>
            <w:vAlign w:val="center"/>
          </w:tcPr>
          <w:p w14:paraId="0557A4B0" w14:textId="0E11403E" w:rsidR="005C477B" w:rsidRPr="00177766" w:rsidRDefault="00A174C6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>SLT</w:t>
            </w:r>
          </w:p>
        </w:tc>
        <w:tc>
          <w:tcPr>
            <w:tcW w:w="1417" w:type="dxa"/>
            <w:vMerge w:val="restart"/>
            <w:vAlign w:val="center"/>
          </w:tcPr>
          <w:p w14:paraId="0E559A4E" w14:textId="3EBC0D6F" w:rsidR="005C477B" w:rsidRPr="00177766" w:rsidRDefault="00A174C6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 xml:space="preserve">Emails </w:t>
            </w:r>
            <w:r w:rsidR="00C90B3C">
              <w:rPr>
                <w:rFonts w:cstheme="minorHAnsi"/>
                <w:color w:val="8EAADB" w:themeColor="accent1" w:themeTint="99"/>
                <w:sz w:val="18"/>
                <w:szCs w:val="18"/>
              </w:rPr>
              <w:t>relating to all extra music opportunities</w:t>
            </w:r>
          </w:p>
        </w:tc>
        <w:tc>
          <w:tcPr>
            <w:tcW w:w="1418" w:type="dxa"/>
            <w:vMerge w:val="restart"/>
            <w:vAlign w:val="center"/>
          </w:tcPr>
          <w:p w14:paraId="050D55D1" w14:textId="161628BA" w:rsidR="005C477B" w:rsidRPr="00177766" w:rsidRDefault="00C90B3C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>Subject leader time</w:t>
            </w:r>
          </w:p>
        </w:tc>
        <w:tc>
          <w:tcPr>
            <w:tcW w:w="6237" w:type="dxa"/>
            <w:vAlign w:val="center"/>
          </w:tcPr>
          <w:p w14:paraId="1D09D2EE" w14:textId="257097E5" w:rsidR="005C477B" w:rsidRPr="00177766" w:rsidRDefault="00514461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 xml:space="preserve">To investigate the possibility of guitar / drum lessons </w:t>
            </w:r>
            <w:r w:rsidR="00321B5B">
              <w:rPr>
                <w:rFonts w:cstheme="minorHAnsi"/>
                <w:color w:val="8EAADB" w:themeColor="accent1" w:themeTint="99"/>
                <w:sz w:val="18"/>
                <w:szCs w:val="18"/>
              </w:rPr>
              <w:t>and any other instruments the children show interest in.</w:t>
            </w:r>
          </w:p>
        </w:tc>
      </w:tr>
      <w:tr w:rsidR="005C477B" w:rsidRPr="002A75C5" w14:paraId="6B0745CD" w14:textId="77777777" w:rsidTr="005C477B">
        <w:trPr>
          <w:trHeight w:val="348"/>
        </w:trPr>
        <w:tc>
          <w:tcPr>
            <w:tcW w:w="738" w:type="dxa"/>
            <w:vMerge/>
          </w:tcPr>
          <w:p w14:paraId="0E4C570B" w14:textId="77777777" w:rsidR="005C477B" w:rsidRDefault="005C477B" w:rsidP="001654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21B3FB11" w14:textId="77777777" w:rsidR="005C477B" w:rsidRPr="00177766" w:rsidRDefault="005C477B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0B38C40" w14:textId="77777777" w:rsidR="005C477B" w:rsidRPr="00177766" w:rsidRDefault="005C477B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3183B41" w14:textId="77777777" w:rsidR="005C477B" w:rsidRPr="00177766" w:rsidRDefault="005C477B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3A61BCE" w14:textId="77777777" w:rsidR="005C477B" w:rsidRPr="00177766" w:rsidRDefault="005C477B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6859CF4" w14:textId="77777777" w:rsidR="005C477B" w:rsidRPr="00177766" w:rsidRDefault="005C477B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7EE324CA" w14:textId="5A068A9F" w:rsidR="005C477B" w:rsidRPr="00177766" w:rsidRDefault="00321B5B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 xml:space="preserve">To demonstrate the opportunities </w:t>
            </w:r>
            <w:r w:rsidR="00894EA8">
              <w:rPr>
                <w:rFonts w:cstheme="minorHAnsi"/>
                <w:color w:val="8EAADB" w:themeColor="accent1" w:themeTint="99"/>
                <w:sz w:val="18"/>
                <w:szCs w:val="18"/>
              </w:rPr>
              <w:t>we have available so children are aware of what is on offer.</w:t>
            </w:r>
          </w:p>
        </w:tc>
      </w:tr>
      <w:tr w:rsidR="005C477B" w:rsidRPr="002A75C5" w14:paraId="66BE1E35" w14:textId="77777777" w:rsidTr="005C477B">
        <w:trPr>
          <w:trHeight w:val="348"/>
        </w:trPr>
        <w:tc>
          <w:tcPr>
            <w:tcW w:w="738" w:type="dxa"/>
            <w:vMerge/>
          </w:tcPr>
          <w:p w14:paraId="110DC362" w14:textId="77777777" w:rsidR="005C477B" w:rsidRDefault="005C477B" w:rsidP="001654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580D4E75" w14:textId="77777777" w:rsidR="005C477B" w:rsidRPr="00177766" w:rsidRDefault="005C477B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187BFC4" w14:textId="77777777" w:rsidR="005C477B" w:rsidRPr="00177766" w:rsidRDefault="005C477B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D46CD7" w14:textId="77777777" w:rsidR="005C477B" w:rsidRPr="00177766" w:rsidRDefault="005C477B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3603525" w14:textId="77777777" w:rsidR="005C477B" w:rsidRPr="00177766" w:rsidRDefault="005C477B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CE39965" w14:textId="77777777" w:rsidR="005C477B" w:rsidRPr="00177766" w:rsidRDefault="005C477B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12808013" w14:textId="4886AAC8" w:rsidR="005C477B" w:rsidRPr="00177766" w:rsidRDefault="00894EA8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 xml:space="preserve">To evaluate the wider experiences, the impact </w:t>
            </w:r>
            <w:r w:rsidR="0024343D">
              <w:rPr>
                <w:rFonts w:cstheme="minorHAnsi"/>
                <w:color w:val="8EAADB" w:themeColor="accent1" w:themeTint="99"/>
                <w:sz w:val="18"/>
                <w:szCs w:val="18"/>
              </w:rPr>
              <w:t>of these and prepare for Cycle A</w:t>
            </w:r>
          </w:p>
        </w:tc>
      </w:tr>
      <w:tr w:rsidR="00165495" w:rsidRPr="002A75C5" w14:paraId="54C872D4" w14:textId="77777777" w:rsidTr="00165EEA">
        <w:trPr>
          <w:trHeight w:val="1048"/>
        </w:trPr>
        <w:tc>
          <w:tcPr>
            <w:tcW w:w="738" w:type="dxa"/>
          </w:tcPr>
          <w:p w14:paraId="05FBAEED" w14:textId="16C1FA93" w:rsidR="00165495" w:rsidRPr="002A75C5" w:rsidRDefault="00165495" w:rsidP="001654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Impact</w:t>
            </w:r>
          </w:p>
        </w:tc>
        <w:tc>
          <w:tcPr>
            <w:tcW w:w="14884" w:type="dxa"/>
            <w:gridSpan w:val="6"/>
            <w:vAlign w:val="center"/>
          </w:tcPr>
          <w:p w14:paraId="471D9420" w14:textId="1E2D66F8" w:rsidR="00165495" w:rsidRPr="00177766" w:rsidRDefault="0024343D" w:rsidP="00165495">
            <w:pPr>
              <w:rPr>
                <w:rFonts w:cstheme="minorHAnsi"/>
                <w:color w:val="8EAADB" w:themeColor="accent1" w:themeTint="99"/>
                <w:sz w:val="18"/>
                <w:szCs w:val="18"/>
              </w:rPr>
            </w:pPr>
            <w:r>
              <w:rPr>
                <w:rFonts w:cstheme="minorHAnsi"/>
                <w:color w:val="8EAADB" w:themeColor="accent1" w:themeTint="99"/>
                <w:sz w:val="18"/>
                <w:szCs w:val="18"/>
              </w:rPr>
              <w:t xml:space="preserve">This will ensure music is taught consistently and at a high </w:t>
            </w:r>
            <w:r w:rsidR="0090581C">
              <w:rPr>
                <w:rFonts w:cstheme="minorHAnsi"/>
                <w:color w:val="8EAADB" w:themeColor="accent1" w:themeTint="99"/>
                <w:sz w:val="18"/>
                <w:szCs w:val="18"/>
              </w:rPr>
              <w:t>standard in all classes.</w:t>
            </w:r>
          </w:p>
        </w:tc>
      </w:tr>
    </w:tbl>
    <w:p w14:paraId="779F8E76" w14:textId="77777777" w:rsidR="0041757A" w:rsidRPr="001E2174" w:rsidRDefault="0041757A">
      <w:pPr>
        <w:rPr>
          <w:sz w:val="18"/>
          <w:szCs w:val="18"/>
        </w:rPr>
      </w:pPr>
    </w:p>
    <w:sectPr w:rsidR="0041757A" w:rsidRPr="001E2174" w:rsidSect="001E3A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0D7D"/>
    <w:multiLevelType w:val="multilevel"/>
    <w:tmpl w:val="435C8446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b w:val="0"/>
        <w:color w:val="auto"/>
        <w:sz w:val="22"/>
      </w:rPr>
    </w:lvl>
  </w:abstractNum>
  <w:abstractNum w:abstractNumId="1" w15:restartNumberingAfterBreak="0">
    <w:nsid w:val="0AF57F3B"/>
    <w:multiLevelType w:val="hybridMultilevel"/>
    <w:tmpl w:val="C532B63E"/>
    <w:lvl w:ilvl="0" w:tplc="1B4C7480">
      <w:start w:val="1"/>
      <w:numFmt w:val="decimal"/>
      <w:lvlText w:val="%1."/>
      <w:lvlJc w:val="left"/>
      <w:pPr>
        <w:ind w:left="1135" w:hanging="360"/>
      </w:pPr>
      <w:rPr>
        <w:rFonts w:cstheme="minorBidi" w:hint="default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55" w:hanging="360"/>
      </w:pPr>
    </w:lvl>
    <w:lvl w:ilvl="2" w:tplc="0809001B" w:tentative="1">
      <w:start w:val="1"/>
      <w:numFmt w:val="lowerRoman"/>
      <w:lvlText w:val="%3."/>
      <w:lvlJc w:val="right"/>
      <w:pPr>
        <w:ind w:left="2575" w:hanging="180"/>
      </w:pPr>
    </w:lvl>
    <w:lvl w:ilvl="3" w:tplc="0809000F" w:tentative="1">
      <w:start w:val="1"/>
      <w:numFmt w:val="decimal"/>
      <w:lvlText w:val="%4."/>
      <w:lvlJc w:val="left"/>
      <w:pPr>
        <w:ind w:left="3295" w:hanging="360"/>
      </w:pPr>
    </w:lvl>
    <w:lvl w:ilvl="4" w:tplc="08090019" w:tentative="1">
      <w:start w:val="1"/>
      <w:numFmt w:val="lowerLetter"/>
      <w:lvlText w:val="%5."/>
      <w:lvlJc w:val="left"/>
      <w:pPr>
        <w:ind w:left="4015" w:hanging="360"/>
      </w:pPr>
    </w:lvl>
    <w:lvl w:ilvl="5" w:tplc="0809001B" w:tentative="1">
      <w:start w:val="1"/>
      <w:numFmt w:val="lowerRoman"/>
      <w:lvlText w:val="%6."/>
      <w:lvlJc w:val="right"/>
      <w:pPr>
        <w:ind w:left="4735" w:hanging="180"/>
      </w:pPr>
    </w:lvl>
    <w:lvl w:ilvl="6" w:tplc="0809000F" w:tentative="1">
      <w:start w:val="1"/>
      <w:numFmt w:val="decimal"/>
      <w:lvlText w:val="%7."/>
      <w:lvlJc w:val="left"/>
      <w:pPr>
        <w:ind w:left="5455" w:hanging="360"/>
      </w:pPr>
    </w:lvl>
    <w:lvl w:ilvl="7" w:tplc="08090019" w:tentative="1">
      <w:start w:val="1"/>
      <w:numFmt w:val="lowerLetter"/>
      <w:lvlText w:val="%8."/>
      <w:lvlJc w:val="left"/>
      <w:pPr>
        <w:ind w:left="6175" w:hanging="360"/>
      </w:pPr>
    </w:lvl>
    <w:lvl w:ilvl="8" w:tplc="0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30112F55"/>
    <w:multiLevelType w:val="multilevel"/>
    <w:tmpl w:val="3C865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4ED7597A"/>
    <w:multiLevelType w:val="hybridMultilevel"/>
    <w:tmpl w:val="95881386"/>
    <w:lvl w:ilvl="0" w:tplc="F15287A6">
      <w:start w:val="1"/>
      <w:numFmt w:val="decimal"/>
      <w:lvlText w:val="%1.1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DA4D91"/>
    <w:multiLevelType w:val="hybridMultilevel"/>
    <w:tmpl w:val="100AD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43901830">
    <w:abstractNumId w:val="3"/>
  </w:num>
  <w:num w:numId="2" w16cid:durableId="2049447903">
    <w:abstractNumId w:val="2"/>
  </w:num>
  <w:num w:numId="3" w16cid:durableId="854805939">
    <w:abstractNumId w:val="4"/>
  </w:num>
  <w:num w:numId="4" w16cid:durableId="141000253">
    <w:abstractNumId w:val="1"/>
  </w:num>
  <w:num w:numId="5" w16cid:durableId="103831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8D"/>
    <w:rsid w:val="00014CA6"/>
    <w:rsid w:val="00054C9B"/>
    <w:rsid w:val="00060649"/>
    <w:rsid w:val="00062450"/>
    <w:rsid w:val="00063727"/>
    <w:rsid w:val="00070A81"/>
    <w:rsid w:val="00071A67"/>
    <w:rsid w:val="0008450A"/>
    <w:rsid w:val="000953CD"/>
    <w:rsid w:val="000A589C"/>
    <w:rsid w:val="000B2912"/>
    <w:rsid w:val="000C028A"/>
    <w:rsid w:val="000E3597"/>
    <w:rsid w:val="000E7527"/>
    <w:rsid w:val="000F1DEA"/>
    <w:rsid w:val="001017D8"/>
    <w:rsid w:val="00114183"/>
    <w:rsid w:val="00123FA1"/>
    <w:rsid w:val="00124ED9"/>
    <w:rsid w:val="00127C2A"/>
    <w:rsid w:val="001630C7"/>
    <w:rsid w:val="001639B2"/>
    <w:rsid w:val="00165495"/>
    <w:rsid w:val="00165EEA"/>
    <w:rsid w:val="00172964"/>
    <w:rsid w:val="00172FDA"/>
    <w:rsid w:val="00175AFE"/>
    <w:rsid w:val="00177766"/>
    <w:rsid w:val="0018303C"/>
    <w:rsid w:val="001935CB"/>
    <w:rsid w:val="001949D9"/>
    <w:rsid w:val="001A7563"/>
    <w:rsid w:val="001B17CA"/>
    <w:rsid w:val="001D0F39"/>
    <w:rsid w:val="001D632E"/>
    <w:rsid w:val="001E2174"/>
    <w:rsid w:val="001E24AD"/>
    <w:rsid w:val="001E324E"/>
    <w:rsid w:val="001E3A8D"/>
    <w:rsid w:val="00213353"/>
    <w:rsid w:val="0024343D"/>
    <w:rsid w:val="002523CA"/>
    <w:rsid w:val="002738F4"/>
    <w:rsid w:val="002761EF"/>
    <w:rsid w:val="002B4B48"/>
    <w:rsid w:val="002C1F6B"/>
    <w:rsid w:val="002E5BC5"/>
    <w:rsid w:val="002F00CC"/>
    <w:rsid w:val="002F0F47"/>
    <w:rsid w:val="002F616D"/>
    <w:rsid w:val="0031363B"/>
    <w:rsid w:val="0031421A"/>
    <w:rsid w:val="0032166D"/>
    <w:rsid w:val="00321B5B"/>
    <w:rsid w:val="003424CD"/>
    <w:rsid w:val="0035088B"/>
    <w:rsid w:val="003559F3"/>
    <w:rsid w:val="00364BAD"/>
    <w:rsid w:val="00372381"/>
    <w:rsid w:val="00384A2D"/>
    <w:rsid w:val="00386277"/>
    <w:rsid w:val="003A03FA"/>
    <w:rsid w:val="003A781A"/>
    <w:rsid w:val="003B110E"/>
    <w:rsid w:val="003C5475"/>
    <w:rsid w:val="00402050"/>
    <w:rsid w:val="00406F64"/>
    <w:rsid w:val="004137C3"/>
    <w:rsid w:val="00415E22"/>
    <w:rsid w:val="004165E2"/>
    <w:rsid w:val="0041757A"/>
    <w:rsid w:val="004261E3"/>
    <w:rsid w:val="004368C0"/>
    <w:rsid w:val="004546AD"/>
    <w:rsid w:val="004560EC"/>
    <w:rsid w:val="00461207"/>
    <w:rsid w:val="00462E71"/>
    <w:rsid w:val="00471A3A"/>
    <w:rsid w:val="00472A01"/>
    <w:rsid w:val="00475C8D"/>
    <w:rsid w:val="00491154"/>
    <w:rsid w:val="00491DCC"/>
    <w:rsid w:val="004929FA"/>
    <w:rsid w:val="004A2C74"/>
    <w:rsid w:val="004B36BA"/>
    <w:rsid w:val="004B5E2E"/>
    <w:rsid w:val="004C0621"/>
    <w:rsid w:val="004C6096"/>
    <w:rsid w:val="004D0BBE"/>
    <w:rsid w:val="004D6CE1"/>
    <w:rsid w:val="004E0AC0"/>
    <w:rsid w:val="004F34B0"/>
    <w:rsid w:val="00514461"/>
    <w:rsid w:val="00526349"/>
    <w:rsid w:val="0053038A"/>
    <w:rsid w:val="00530F10"/>
    <w:rsid w:val="00531307"/>
    <w:rsid w:val="00537827"/>
    <w:rsid w:val="00551CB1"/>
    <w:rsid w:val="005656A5"/>
    <w:rsid w:val="00574404"/>
    <w:rsid w:val="005A0D6E"/>
    <w:rsid w:val="005B5C76"/>
    <w:rsid w:val="005C03B2"/>
    <w:rsid w:val="005C15CA"/>
    <w:rsid w:val="005C477B"/>
    <w:rsid w:val="005D00E0"/>
    <w:rsid w:val="005E50EE"/>
    <w:rsid w:val="005F2C0C"/>
    <w:rsid w:val="006156E0"/>
    <w:rsid w:val="0061642C"/>
    <w:rsid w:val="00622506"/>
    <w:rsid w:val="0062469F"/>
    <w:rsid w:val="006344CC"/>
    <w:rsid w:val="00637380"/>
    <w:rsid w:val="0063781B"/>
    <w:rsid w:val="0064487E"/>
    <w:rsid w:val="00654BFB"/>
    <w:rsid w:val="00662453"/>
    <w:rsid w:val="00680479"/>
    <w:rsid w:val="00693B7C"/>
    <w:rsid w:val="006A1967"/>
    <w:rsid w:val="006B10E0"/>
    <w:rsid w:val="006B48BC"/>
    <w:rsid w:val="006B5EE8"/>
    <w:rsid w:val="006D2962"/>
    <w:rsid w:val="006D4054"/>
    <w:rsid w:val="006E6AF1"/>
    <w:rsid w:val="00717A96"/>
    <w:rsid w:val="007312AE"/>
    <w:rsid w:val="007427C7"/>
    <w:rsid w:val="007453CB"/>
    <w:rsid w:val="0075180F"/>
    <w:rsid w:val="007532DD"/>
    <w:rsid w:val="007627A2"/>
    <w:rsid w:val="0078306A"/>
    <w:rsid w:val="00783814"/>
    <w:rsid w:val="007929E3"/>
    <w:rsid w:val="00796885"/>
    <w:rsid w:val="007A0593"/>
    <w:rsid w:val="007A0D35"/>
    <w:rsid w:val="007A46D0"/>
    <w:rsid w:val="007B2C05"/>
    <w:rsid w:val="007B4143"/>
    <w:rsid w:val="007B56AC"/>
    <w:rsid w:val="007C7AFE"/>
    <w:rsid w:val="007D59AF"/>
    <w:rsid w:val="007E3F8C"/>
    <w:rsid w:val="007E6213"/>
    <w:rsid w:val="007F0C00"/>
    <w:rsid w:val="007F62F3"/>
    <w:rsid w:val="007F739D"/>
    <w:rsid w:val="00816FB3"/>
    <w:rsid w:val="00835C8E"/>
    <w:rsid w:val="00837F25"/>
    <w:rsid w:val="00837F7B"/>
    <w:rsid w:val="008413FF"/>
    <w:rsid w:val="00857C51"/>
    <w:rsid w:val="00872BF6"/>
    <w:rsid w:val="00884664"/>
    <w:rsid w:val="008848A7"/>
    <w:rsid w:val="00893690"/>
    <w:rsid w:val="00894EA8"/>
    <w:rsid w:val="00897A23"/>
    <w:rsid w:val="008A4736"/>
    <w:rsid w:val="008B73C1"/>
    <w:rsid w:val="008C2616"/>
    <w:rsid w:val="00902B8A"/>
    <w:rsid w:val="00904D05"/>
    <w:rsid w:val="0090581C"/>
    <w:rsid w:val="00905A03"/>
    <w:rsid w:val="0092417E"/>
    <w:rsid w:val="00955F87"/>
    <w:rsid w:val="0095649F"/>
    <w:rsid w:val="0099304B"/>
    <w:rsid w:val="009A53D3"/>
    <w:rsid w:val="009A6109"/>
    <w:rsid w:val="009B3B1B"/>
    <w:rsid w:val="009D1471"/>
    <w:rsid w:val="009D5288"/>
    <w:rsid w:val="009E448D"/>
    <w:rsid w:val="00A063A3"/>
    <w:rsid w:val="00A13B90"/>
    <w:rsid w:val="00A14E5B"/>
    <w:rsid w:val="00A17353"/>
    <w:rsid w:val="00A174C6"/>
    <w:rsid w:val="00A30757"/>
    <w:rsid w:val="00A336C6"/>
    <w:rsid w:val="00A40DC5"/>
    <w:rsid w:val="00A430B0"/>
    <w:rsid w:val="00A5210A"/>
    <w:rsid w:val="00A55427"/>
    <w:rsid w:val="00A65637"/>
    <w:rsid w:val="00A67042"/>
    <w:rsid w:val="00A70690"/>
    <w:rsid w:val="00A91FA3"/>
    <w:rsid w:val="00AB286D"/>
    <w:rsid w:val="00AB60C7"/>
    <w:rsid w:val="00AC2209"/>
    <w:rsid w:val="00AC7A3A"/>
    <w:rsid w:val="00AD55BE"/>
    <w:rsid w:val="00AF1C34"/>
    <w:rsid w:val="00B01A49"/>
    <w:rsid w:val="00B1188F"/>
    <w:rsid w:val="00B20C7A"/>
    <w:rsid w:val="00B20FF9"/>
    <w:rsid w:val="00B2119C"/>
    <w:rsid w:val="00B30B65"/>
    <w:rsid w:val="00B3246B"/>
    <w:rsid w:val="00B36D93"/>
    <w:rsid w:val="00B41BC2"/>
    <w:rsid w:val="00B52979"/>
    <w:rsid w:val="00B61E7F"/>
    <w:rsid w:val="00B62811"/>
    <w:rsid w:val="00B77EDD"/>
    <w:rsid w:val="00B849D0"/>
    <w:rsid w:val="00B93FE3"/>
    <w:rsid w:val="00B954F7"/>
    <w:rsid w:val="00B96CED"/>
    <w:rsid w:val="00BB6C83"/>
    <w:rsid w:val="00BD48DB"/>
    <w:rsid w:val="00BE2846"/>
    <w:rsid w:val="00BE4521"/>
    <w:rsid w:val="00BE7021"/>
    <w:rsid w:val="00BF5295"/>
    <w:rsid w:val="00C0366C"/>
    <w:rsid w:val="00C12032"/>
    <w:rsid w:val="00C17DF8"/>
    <w:rsid w:val="00C23943"/>
    <w:rsid w:val="00C38707"/>
    <w:rsid w:val="00C54CE2"/>
    <w:rsid w:val="00C63545"/>
    <w:rsid w:val="00C70973"/>
    <w:rsid w:val="00C76FD2"/>
    <w:rsid w:val="00C8170C"/>
    <w:rsid w:val="00C82F59"/>
    <w:rsid w:val="00C85401"/>
    <w:rsid w:val="00C90B3C"/>
    <w:rsid w:val="00CA386C"/>
    <w:rsid w:val="00CA455E"/>
    <w:rsid w:val="00CB7844"/>
    <w:rsid w:val="00CD6F05"/>
    <w:rsid w:val="00CF255F"/>
    <w:rsid w:val="00D12CAD"/>
    <w:rsid w:val="00D22B8C"/>
    <w:rsid w:val="00D24CA4"/>
    <w:rsid w:val="00D4017B"/>
    <w:rsid w:val="00D65EED"/>
    <w:rsid w:val="00D82159"/>
    <w:rsid w:val="00D853C5"/>
    <w:rsid w:val="00D90D5C"/>
    <w:rsid w:val="00DB5F65"/>
    <w:rsid w:val="00DC47B6"/>
    <w:rsid w:val="00DC5D9E"/>
    <w:rsid w:val="00DD4C45"/>
    <w:rsid w:val="00DE3D2B"/>
    <w:rsid w:val="00DE6B57"/>
    <w:rsid w:val="00DF796C"/>
    <w:rsid w:val="00E01B09"/>
    <w:rsid w:val="00E21B7B"/>
    <w:rsid w:val="00E30224"/>
    <w:rsid w:val="00E419E2"/>
    <w:rsid w:val="00E52A7B"/>
    <w:rsid w:val="00E554DF"/>
    <w:rsid w:val="00E567D2"/>
    <w:rsid w:val="00E66CA7"/>
    <w:rsid w:val="00E7492E"/>
    <w:rsid w:val="00E81DC9"/>
    <w:rsid w:val="00E8496B"/>
    <w:rsid w:val="00E87405"/>
    <w:rsid w:val="00E90A7F"/>
    <w:rsid w:val="00E93E80"/>
    <w:rsid w:val="00E93FC0"/>
    <w:rsid w:val="00E9479A"/>
    <w:rsid w:val="00E95E32"/>
    <w:rsid w:val="00EA0BBC"/>
    <w:rsid w:val="00EA58A1"/>
    <w:rsid w:val="00EB4344"/>
    <w:rsid w:val="00ED0BF2"/>
    <w:rsid w:val="00EE5150"/>
    <w:rsid w:val="00EF150E"/>
    <w:rsid w:val="00EF3CCC"/>
    <w:rsid w:val="00EF5F79"/>
    <w:rsid w:val="00F024D3"/>
    <w:rsid w:val="00F11ACA"/>
    <w:rsid w:val="00F11CBD"/>
    <w:rsid w:val="00F128B3"/>
    <w:rsid w:val="00F140F2"/>
    <w:rsid w:val="00F208B4"/>
    <w:rsid w:val="00F5093A"/>
    <w:rsid w:val="00F57A04"/>
    <w:rsid w:val="00F75005"/>
    <w:rsid w:val="00FA0337"/>
    <w:rsid w:val="00FA5AB7"/>
    <w:rsid w:val="00FC2B59"/>
    <w:rsid w:val="00FD03F3"/>
    <w:rsid w:val="00FE0982"/>
    <w:rsid w:val="00FE5E67"/>
    <w:rsid w:val="00FF3B89"/>
    <w:rsid w:val="015149A1"/>
    <w:rsid w:val="03CAF6BD"/>
    <w:rsid w:val="0596F82A"/>
    <w:rsid w:val="071F6EB9"/>
    <w:rsid w:val="07AAF8CF"/>
    <w:rsid w:val="07B7E005"/>
    <w:rsid w:val="09A8F619"/>
    <w:rsid w:val="0D4348B3"/>
    <w:rsid w:val="0E83EDF1"/>
    <w:rsid w:val="0E9C9276"/>
    <w:rsid w:val="114BF6F2"/>
    <w:rsid w:val="11701269"/>
    <w:rsid w:val="1FBFEC57"/>
    <w:rsid w:val="206187D5"/>
    <w:rsid w:val="2076CE10"/>
    <w:rsid w:val="21A256BE"/>
    <w:rsid w:val="21A43EB5"/>
    <w:rsid w:val="21FED708"/>
    <w:rsid w:val="22DBEAD5"/>
    <w:rsid w:val="237A1253"/>
    <w:rsid w:val="25A25099"/>
    <w:rsid w:val="28BEDA20"/>
    <w:rsid w:val="2E80A8B3"/>
    <w:rsid w:val="301C7914"/>
    <w:rsid w:val="35FB545F"/>
    <w:rsid w:val="37F53CEF"/>
    <w:rsid w:val="398E49DD"/>
    <w:rsid w:val="3B76346A"/>
    <w:rsid w:val="3C374AD5"/>
    <w:rsid w:val="3CDDF562"/>
    <w:rsid w:val="3D1204CB"/>
    <w:rsid w:val="4016B04C"/>
    <w:rsid w:val="415B8810"/>
    <w:rsid w:val="4399A863"/>
    <w:rsid w:val="44076CDB"/>
    <w:rsid w:val="4563BD7B"/>
    <w:rsid w:val="45D4425C"/>
    <w:rsid w:val="463B3BDC"/>
    <w:rsid w:val="4EF648B5"/>
    <w:rsid w:val="4F15BDA3"/>
    <w:rsid w:val="504F2655"/>
    <w:rsid w:val="559F2B65"/>
    <w:rsid w:val="57907D14"/>
    <w:rsid w:val="5A9CF908"/>
    <w:rsid w:val="5E6BE62C"/>
    <w:rsid w:val="5EECF1BF"/>
    <w:rsid w:val="66FD6B67"/>
    <w:rsid w:val="6FEA89F8"/>
    <w:rsid w:val="787E3556"/>
    <w:rsid w:val="7B0928C2"/>
    <w:rsid w:val="7BF015E3"/>
    <w:rsid w:val="7C2F81EE"/>
    <w:rsid w:val="7D8BE644"/>
    <w:rsid w:val="7E4B9F7B"/>
    <w:rsid w:val="7F27B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E4262"/>
  <w15:chartTrackingRefBased/>
  <w15:docId w15:val="{B97E5EA1-7D22-4AD3-8A1F-91ECA40D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8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3390d-c771-4971-ac51-0a3fa1022fb9" xsi:nil="true"/>
    <lcf76f155ced4ddcb4097134ff3c332f xmlns="e8a0d1f0-54a5-4e5f-879a-a26ec8074b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EA3877A721542B6065D553F7F7655" ma:contentTypeVersion="17" ma:contentTypeDescription="Create a new document." ma:contentTypeScope="" ma:versionID="15e8d5d3820f1ae230a192f4cddded71">
  <xsd:schema xmlns:xsd="http://www.w3.org/2001/XMLSchema" xmlns:xs="http://www.w3.org/2001/XMLSchema" xmlns:p="http://schemas.microsoft.com/office/2006/metadata/properties" xmlns:ns2="e8a0d1f0-54a5-4e5f-879a-a26ec8074bce" xmlns:ns3="2133390d-c771-4971-ac51-0a3fa1022fb9" targetNamespace="http://schemas.microsoft.com/office/2006/metadata/properties" ma:root="true" ma:fieldsID="cd1f987dbbf5aa56308854b278841d6e" ns2:_="" ns3:_="">
    <xsd:import namespace="e8a0d1f0-54a5-4e5f-879a-a26ec8074bce"/>
    <xsd:import namespace="2133390d-c771-4971-ac51-0a3fa1022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d1f0-54a5-4e5f-879a-a26ec8074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540688-10e5-4119-b8ff-74959c221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390d-c771-4971-ac51-0a3fa1022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36cc4b-9f58-4649-b7d3-6c54a2d61e3c}" ma:internalName="TaxCatchAll" ma:showField="CatchAllData" ma:web="2133390d-c771-4971-ac51-0a3fa1022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9C17C-0057-40D2-B869-FCAE206AADAC}">
  <ds:schemaRefs>
    <ds:schemaRef ds:uri="http://schemas.microsoft.com/office/2006/metadata/properties"/>
    <ds:schemaRef ds:uri="http://schemas.microsoft.com/office/infopath/2007/PartnerControls"/>
    <ds:schemaRef ds:uri="2133390d-c771-4971-ac51-0a3fa1022fb9"/>
    <ds:schemaRef ds:uri="e8a0d1f0-54a5-4e5f-879a-a26ec8074bce"/>
  </ds:schemaRefs>
</ds:datastoreItem>
</file>

<file path=customXml/itemProps2.xml><?xml version="1.0" encoding="utf-8"?>
<ds:datastoreItem xmlns:ds="http://schemas.openxmlformats.org/officeDocument/2006/customXml" ds:itemID="{09A65A11-7208-45A5-96F8-B38FA9D26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11F6D-8B14-4DB5-96D6-4ACC3AA7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d1f0-54a5-4e5f-879a-a26ec8074bce"/>
    <ds:schemaRef ds:uri="2133390d-c771-4971-ac51-0a3fa1022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Bentley</dc:creator>
  <cp:keywords/>
  <dc:description/>
  <cp:lastModifiedBy>L Wildey</cp:lastModifiedBy>
  <cp:revision>35</cp:revision>
  <dcterms:created xsi:type="dcterms:W3CDTF">2025-03-20T10:59:00Z</dcterms:created>
  <dcterms:modified xsi:type="dcterms:W3CDTF">2025-03-20T11:24:00Z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0x010100B21EA3877A721542B6065D553F7F7655</vt:lpwstr>
  </property>
  <property fmtid="{D5CDD505-2E9C-101B-9397-08002B2CF9AE}" pid="3" name="MediaServiceImageTags">
    <vt:lpwstr/>
  </property>
  <property fmtid="{D5CDD505-2E9C-101B-9397-08002B2CF9AE}" pid="4" name="GrammarlyDocumentId">
    <vt:lpwstr>79b259b704016c3124b9b3dc6b58f294eb96386342046df3f03584807a6e771b</vt:lpwstr>
  </property>
</Properties>
</file>